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14B" w:rsidRDefault="001E314B" w:rsidP="00913012">
      <w:pPr>
        <w:pStyle w:val="Heading1"/>
        <w:jc w:val="center"/>
        <w:rPr>
          <w:sz w:val="24"/>
          <w:szCs w:val="24"/>
          <w:lang w:val="en-GB"/>
        </w:rPr>
      </w:pPr>
      <w:r w:rsidRPr="001B0A2B">
        <w:rPr>
          <w:sz w:val="24"/>
          <w:szCs w:val="24"/>
          <w:lang w:val="en-GB"/>
        </w:rPr>
        <w:t>Final</w:t>
      </w:r>
      <w:r w:rsidRPr="001B0A2B">
        <w:rPr>
          <w:sz w:val="24"/>
          <w:szCs w:val="24"/>
        </w:rPr>
        <w:t xml:space="preserve"> report on AWP15-ENR-01/CCFE-03 Predictive model for pedestals</w:t>
      </w:r>
    </w:p>
    <w:p w:rsidR="00913012" w:rsidRDefault="00913012" w:rsidP="00913012">
      <w:pPr>
        <w:jc w:val="center"/>
        <w:rPr>
          <w:lang w:eastAsia="x-none"/>
        </w:rPr>
      </w:pPr>
      <w:r>
        <w:rPr>
          <w:lang w:eastAsia="x-none"/>
        </w:rPr>
        <w:t>13/1/2017</w:t>
      </w:r>
    </w:p>
    <w:p w:rsidR="00913012" w:rsidRPr="00913012" w:rsidRDefault="00913012" w:rsidP="00913012">
      <w:pPr>
        <w:jc w:val="center"/>
        <w:rPr>
          <w:lang w:eastAsia="x-none"/>
        </w:rPr>
      </w:pPr>
      <w:r>
        <w:rPr>
          <w:lang w:eastAsia="x-none"/>
        </w:rPr>
        <w:t xml:space="preserve">S. Saarelma. </w:t>
      </w:r>
      <w:r w:rsidR="00246EB7">
        <w:t>Y. Baranov</w:t>
      </w:r>
      <w:r w:rsidR="00246EB7">
        <w:t xml:space="preserve">, </w:t>
      </w:r>
      <w:r w:rsidR="00246EB7">
        <w:t>A. Bokshi</w:t>
      </w:r>
      <w:r w:rsidR="00246EB7">
        <w:t xml:space="preserve">, </w:t>
      </w:r>
      <w:r w:rsidR="00246EB7">
        <w:t>F. Casson</w:t>
      </w:r>
      <w:r w:rsidR="00246EB7">
        <w:t xml:space="preserve">, </w:t>
      </w:r>
      <w:r w:rsidR="00246EB7">
        <w:t>I. Chapman</w:t>
      </w:r>
      <w:r w:rsidR="00246EB7">
        <w:t xml:space="preserve">, </w:t>
      </w:r>
      <w:r w:rsidR="00246EB7">
        <w:t>D. Dickinson</w:t>
      </w:r>
      <w:r w:rsidR="00246EB7">
        <w:t xml:space="preserve">, A. </w:t>
      </w:r>
      <w:r w:rsidR="00246EB7">
        <w:t>Dowsett</w:t>
      </w:r>
      <w:r w:rsidR="00246EB7">
        <w:t xml:space="preserve">, </w:t>
      </w:r>
      <w:r w:rsidR="00246EB7" w:rsidRPr="006E7FAD">
        <w:t>B. Dudson</w:t>
      </w:r>
      <w:r w:rsidR="00246EB7">
        <w:t xml:space="preserve">, M. Dunne, </w:t>
      </w:r>
      <w:r w:rsidR="00246EB7">
        <w:t>S. Freethy</w:t>
      </w:r>
      <w:r w:rsidR="00246EB7">
        <w:t xml:space="preserve">, T. Glasser, </w:t>
      </w:r>
      <w:r w:rsidR="00246EB7" w:rsidRPr="00A3568F">
        <w:t>M. Groth</w:t>
      </w:r>
      <w:r w:rsidR="00246EB7">
        <w:t xml:space="preserve">, </w:t>
      </w:r>
      <w:r w:rsidR="00246EB7" w:rsidRPr="00A3568F">
        <w:t>A. Jä</w:t>
      </w:r>
      <w:r w:rsidR="00246EB7">
        <w:t>rvinen</w:t>
      </w:r>
      <w:r w:rsidR="00246EB7">
        <w:t xml:space="preserve">, </w:t>
      </w:r>
      <w:r w:rsidR="008145E2">
        <w:t xml:space="preserve">A. Kirk, </w:t>
      </w:r>
      <w:r w:rsidR="00246EB7">
        <w:t>J. Leddy</w:t>
      </w:r>
      <w:r w:rsidR="00246EB7">
        <w:t xml:space="preserve">, </w:t>
      </w:r>
      <w:r w:rsidR="00246EB7">
        <w:t>M. Leyland</w:t>
      </w:r>
      <w:r w:rsidR="00246EB7">
        <w:t xml:space="preserve">, </w:t>
      </w:r>
      <w:r w:rsidR="00246EB7">
        <w:t>C. Maggi</w:t>
      </w:r>
      <w:r w:rsidR="00246EB7">
        <w:t xml:space="preserve">, </w:t>
      </w:r>
      <w:r w:rsidR="003F6D9C">
        <w:t>J. Martin-Colla</w:t>
      </w:r>
      <w:bookmarkStart w:id="0" w:name="_GoBack"/>
      <w:bookmarkEnd w:id="0"/>
      <w:r w:rsidR="00246EB7">
        <w:t>r</w:t>
      </w:r>
      <w:r w:rsidR="00246EB7">
        <w:t xml:space="preserve">, </w:t>
      </w:r>
      <w:r w:rsidR="008145E2">
        <w:t xml:space="preserve">B. McMillan, </w:t>
      </w:r>
      <w:r w:rsidR="00246EB7">
        <w:t>C. Roach</w:t>
      </w:r>
      <w:r w:rsidR="00246EB7">
        <w:t xml:space="preserve">, </w:t>
      </w:r>
      <w:r w:rsidR="00246EB7" w:rsidRPr="006E7FAD">
        <w:t>S. Pamela</w:t>
      </w:r>
      <w:r w:rsidR="00246EB7">
        <w:t xml:space="preserve">, </w:t>
      </w:r>
      <w:r w:rsidR="00246EB7">
        <w:t>M. Romanelli</w:t>
      </w:r>
      <w:r w:rsidR="00246EB7">
        <w:t xml:space="preserve">, </w:t>
      </w:r>
      <w:r w:rsidR="00246EB7">
        <w:t>R. Scannell</w:t>
      </w:r>
      <w:r w:rsidR="00246EB7">
        <w:t xml:space="preserve">, </w:t>
      </w:r>
      <w:r w:rsidR="00246EB7">
        <w:t>V. Shevchenko</w:t>
      </w:r>
      <w:r w:rsidR="00246EB7">
        <w:t xml:space="preserve">, C. Stokes, </w:t>
      </w:r>
      <w:r w:rsidR="00246EB7">
        <w:t>R. Vann</w:t>
      </w:r>
      <w:r w:rsidR="00246EB7">
        <w:t xml:space="preserve">, </w:t>
      </w:r>
      <w:r w:rsidR="00F03286">
        <w:t xml:space="preserve">D. Thomas, </w:t>
      </w:r>
      <w:r w:rsidR="00246EB7">
        <w:t>H. Wilson</w:t>
      </w:r>
    </w:p>
    <w:p w:rsidR="001E314B" w:rsidRPr="001E314B" w:rsidRDefault="001E314B" w:rsidP="006B6977">
      <w:pPr>
        <w:pStyle w:val="Heading2"/>
        <w:numPr>
          <w:ilvl w:val="0"/>
          <w:numId w:val="4"/>
        </w:numPr>
        <w:jc w:val="both"/>
      </w:pPr>
      <w:r w:rsidRPr="001E314B">
        <w:t>Introduction</w:t>
      </w:r>
    </w:p>
    <w:p w:rsidR="001E314B" w:rsidRPr="00B40D35" w:rsidRDefault="001E314B" w:rsidP="00D323A7">
      <w:pPr>
        <w:spacing w:line="240" w:lineRule="auto"/>
        <w:jc w:val="both"/>
      </w:pPr>
      <w:r w:rsidRPr="00B40D35">
        <w:t xml:space="preserve">The goal of the project is to produce a model called Europed that can be used to predict the pedestal height and width </w:t>
      </w:r>
      <w:r w:rsidR="007B7561">
        <w:t xml:space="preserve">for </w:t>
      </w:r>
      <w:r w:rsidRPr="00B40D35">
        <w:t xml:space="preserve">scenario development and transport simulations of future </w:t>
      </w:r>
      <w:r w:rsidR="007B7561">
        <w:t xml:space="preserve">tokamak </w:t>
      </w:r>
      <w:r w:rsidRPr="00B40D35">
        <w:t xml:space="preserve">plasmas. The developed model builds on EPED1 [1] and improves the parts that </w:t>
      </w:r>
      <w:r w:rsidR="006B6977">
        <w:t xml:space="preserve">in </w:t>
      </w:r>
      <w:r w:rsidRPr="00B40D35">
        <w:t xml:space="preserve">EPED1 </w:t>
      </w:r>
      <w:r w:rsidR="006B6977">
        <w:t xml:space="preserve">are taken as input </w:t>
      </w:r>
      <w:r w:rsidR="0084522A">
        <w:t>by substituting them with predictive capability</w:t>
      </w:r>
      <w:r w:rsidR="00092AF6">
        <w:t xml:space="preserve">: </w:t>
      </w:r>
      <w:r w:rsidR="006B6977">
        <w:t xml:space="preserve">a model for the </w:t>
      </w:r>
      <w:r w:rsidR="00092AF6">
        <w:t xml:space="preserve">density pedestal height, </w:t>
      </w:r>
      <w:r w:rsidR="006B6977">
        <w:t xml:space="preserve">prediction of </w:t>
      </w:r>
      <w:r w:rsidR="00092AF6">
        <w:t xml:space="preserve">global </w:t>
      </w:r>
      <w:r w:rsidR="00092AF6" w:rsidRPr="00092AF6">
        <w:rPr>
          <w:rFonts w:ascii="Symbol" w:hAnsi="Symbol"/>
        </w:rPr>
        <w:t></w:t>
      </w:r>
      <w:r w:rsidR="00092AF6">
        <w:t xml:space="preserve"> and KBM stability limit based gradient model</w:t>
      </w:r>
      <w:r w:rsidRPr="00B40D35">
        <w:t>.</w:t>
      </w:r>
      <w:r>
        <w:t xml:space="preserve"> This document briefly describes the progress achieved in different parts of the Europed project during </w:t>
      </w:r>
      <w:r w:rsidR="006B6977">
        <w:t>2016</w:t>
      </w:r>
      <w:r w:rsidR="00944446">
        <w:t>. The first year progress was already reported in the midpoint report</w:t>
      </w:r>
      <w:r w:rsidR="006B6977">
        <w:t xml:space="preserve"> of the project</w:t>
      </w:r>
      <w:r w:rsidR="00944446">
        <w:t xml:space="preserve">. </w:t>
      </w:r>
      <w:r>
        <w:t xml:space="preserve"> </w:t>
      </w:r>
      <w:r w:rsidR="006B6977">
        <w:t>A</w:t>
      </w:r>
      <w:r w:rsidR="00054C4E">
        <w:t xml:space="preserve">ll </w:t>
      </w:r>
      <w:r w:rsidR="006B6977">
        <w:t>the project achievements are</w:t>
      </w:r>
      <w:r w:rsidR="00C879B4">
        <w:t xml:space="preserve"> shortly summarised</w:t>
      </w:r>
      <w:r w:rsidR="00AE3248">
        <w:t xml:space="preserve"> in section 10.</w:t>
      </w:r>
      <w:r w:rsidR="00C879B4">
        <w:t xml:space="preserve"> </w:t>
      </w:r>
    </w:p>
    <w:p w:rsidR="001E314B" w:rsidRPr="00DC373F" w:rsidRDefault="001E314B" w:rsidP="006B6977">
      <w:pPr>
        <w:pStyle w:val="Heading2"/>
        <w:numPr>
          <w:ilvl w:val="0"/>
          <w:numId w:val="4"/>
        </w:numPr>
        <w:jc w:val="both"/>
        <w:rPr>
          <w:rStyle w:val="normaltextrun"/>
        </w:rPr>
      </w:pPr>
      <w:r w:rsidRPr="00DC373F">
        <w:rPr>
          <w:rStyle w:val="normaltextrun"/>
        </w:rPr>
        <w:t>Framework</w:t>
      </w:r>
      <w:r w:rsidR="006B6977">
        <w:rPr>
          <w:rStyle w:val="normaltextrun"/>
        </w:rPr>
        <w:t xml:space="preserve"> (deliverable 1)</w:t>
      </w:r>
    </w:p>
    <w:p w:rsidR="001E314B" w:rsidRDefault="001E314B" w:rsidP="00D323A7">
      <w:pPr>
        <w:pStyle w:val="paragraph"/>
        <w:spacing w:before="0" w:beforeAutospacing="0" w:after="0" w:afterAutospacing="0"/>
        <w:jc w:val="both"/>
        <w:textAlignment w:val="baseline"/>
        <w:rPr>
          <w:rStyle w:val="normaltextrun"/>
          <w:rFonts w:ascii="Calibri" w:hAnsi="Calibri" w:cs="Segoe UI"/>
          <w:sz w:val="22"/>
          <w:szCs w:val="22"/>
        </w:rPr>
      </w:pPr>
      <w:r w:rsidRPr="001E314B">
        <w:rPr>
          <w:rStyle w:val="normaltextrun"/>
          <w:rFonts w:ascii="Calibri" w:hAnsi="Calibri" w:cs="Segoe UI"/>
          <w:sz w:val="22"/>
          <w:szCs w:val="22"/>
        </w:rPr>
        <w:t xml:space="preserve">The </w:t>
      </w:r>
      <w:r w:rsidR="006B6977">
        <w:rPr>
          <w:rStyle w:val="normaltextrun"/>
          <w:rFonts w:ascii="Calibri" w:hAnsi="Calibri" w:cs="Segoe UI"/>
          <w:sz w:val="22"/>
          <w:szCs w:val="22"/>
        </w:rPr>
        <w:t xml:space="preserve">framework developed in the first year has been expanded so that </w:t>
      </w:r>
      <w:r w:rsidR="008F6B7B">
        <w:rPr>
          <w:rStyle w:val="normaltextrun"/>
          <w:rFonts w:ascii="Calibri" w:hAnsi="Calibri" w:cs="Segoe UI"/>
          <w:sz w:val="22"/>
          <w:szCs w:val="22"/>
        </w:rPr>
        <w:t xml:space="preserve">it is possible to run </w:t>
      </w:r>
      <w:r w:rsidR="006B6977">
        <w:rPr>
          <w:rStyle w:val="normaltextrun"/>
          <w:rFonts w:ascii="Calibri" w:hAnsi="Calibri" w:cs="Segoe UI"/>
          <w:sz w:val="22"/>
          <w:szCs w:val="22"/>
        </w:rPr>
        <w:t xml:space="preserve">Europed </w:t>
      </w:r>
      <w:r w:rsidR="008F6B7B">
        <w:rPr>
          <w:rStyle w:val="normaltextrun"/>
          <w:rFonts w:ascii="Calibri" w:hAnsi="Calibri" w:cs="Segoe UI"/>
          <w:sz w:val="22"/>
          <w:szCs w:val="22"/>
        </w:rPr>
        <w:t xml:space="preserve">parameter scans with an arbitrary number of parameters scanned. This makes it relatively easy to create a parameter matrix that can then be used in core simulations with pedestal predictions interpolated from the Europed results. </w:t>
      </w:r>
      <w:r w:rsidR="007D6918">
        <w:rPr>
          <w:rStyle w:val="normaltextrun"/>
          <w:rFonts w:ascii="Calibri" w:hAnsi="Calibri" w:cs="Segoe UI"/>
          <w:sz w:val="22"/>
          <w:szCs w:val="22"/>
        </w:rPr>
        <w:t xml:space="preserve">This method has also been used to create a parameterisation of the DEMO pedestals. </w:t>
      </w:r>
    </w:p>
    <w:p w:rsidR="008F6B7B" w:rsidRPr="00DC373F" w:rsidRDefault="00650656" w:rsidP="006B6977">
      <w:pPr>
        <w:pStyle w:val="Heading2"/>
        <w:numPr>
          <w:ilvl w:val="0"/>
          <w:numId w:val="4"/>
        </w:numPr>
        <w:jc w:val="both"/>
        <w:rPr>
          <w:rStyle w:val="normaltextrun"/>
        </w:rPr>
      </w:pPr>
      <w:r w:rsidRPr="00DC373F">
        <w:rPr>
          <w:rStyle w:val="normaltextrun"/>
        </w:rPr>
        <w:t xml:space="preserve">Kinetic ballooning mode stability criterion from global </w:t>
      </w:r>
      <w:r w:rsidR="00DC373F" w:rsidRPr="00DC373F">
        <w:rPr>
          <w:rStyle w:val="normaltextrun"/>
        </w:rPr>
        <w:t xml:space="preserve">and local-global </w:t>
      </w:r>
      <w:r w:rsidRPr="00DC373F">
        <w:rPr>
          <w:rStyle w:val="normaltextrun"/>
        </w:rPr>
        <w:t>gyrokinetic analysis</w:t>
      </w:r>
      <w:r w:rsidR="006B6977">
        <w:rPr>
          <w:rStyle w:val="normaltextrun"/>
        </w:rPr>
        <w:t xml:space="preserve"> (deliverables 2, 3, 11)</w:t>
      </w:r>
    </w:p>
    <w:p w:rsidR="008F6B7B" w:rsidRDefault="008F6B7B" w:rsidP="00D323A7">
      <w:pPr>
        <w:pStyle w:val="paragraph"/>
        <w:spacing w:before="0" w:beforeAutospacing="0" w:after="0" w:afterAutospacing="0"/>
        <w:jc w:val="both"/>
        <w:textAlignment w:val="baseline"/>
        <w:rPr>
          <w:rStyle w:val="normaltextrun"/>
          <w:rFonts w:ascii="Calibri" w:hAnsi="Calibri" w:cs="Segoe UI"/>
          <w:sz w:val="22"/>
          <w:szCs w:val="22"/>
        </w:rPr>
      </w:pPr>
      <w:r>
        <w:rPr>
          <w:rStyle w:val="normaltextrun"/>
          <w:rFonts w:ascii="Calibri" w:hAnsi="Calibri" w:cs="Segoe UI"/>
          <w:sz w:val="22"/>
          <w:szCs w:val="22"/>
        </w:rPr>
        <w:t>One of the constraints in the original EPED model is that between ELMs the pedestal is limited by the kinetic ballooning modes (KBM). In the EPED1 model th</w:t>
      </w:r>
      <w:r w:rsidR="00A47FC9">
        <w:rPr>
          <w:rStyle w:val="normaltextrun"/>
          <w:rFonts w:ascii="Calibri" w:hAnsi="Calibri" w:cs="Segoe UI"/>
          <w:sz w:val="22"/>
          <w:szCs w:val="22"/>
        </w:rPr>
        <w:t>is limit is approximated by the relation</w:t>
      </w:r>
      <w:r>
        <w:rPr>
          <w:rStyle w:val="normaltextrun"/>
          <w:rFonts w:ascii="Calibri" w:hAnsi="Calibri" w:cs="Segoe UI"/>
          <w:sz w:val="22"/>
          <w:szCs w:val="22"/>
        </w:rPr>
        <w:t xml:space="preserve"> </w:t>
      </w:r>
      <m:oMath>
        <m:r>
          <w:rPr>
            <w:rStyle w:val="normaltextrun"/>
            <w:rFonts w:ascii="Cambria Math" w:hAnsi="Cambria Math" w:cs="Segoe UI"/>
            <w:sz w:val="22"/>
            <w:szCs w:val="22"/>
          </w:rPr>
          <m:t>∆∝</m:t>
        </m:r>
        <m:rad>
          <m:radPr>
            <m:degHide m:val="1"/>
            <m:ctrlPr>
              <w:rPr>
                <w:rStyle w:val="normaltextrun"/>
                <w:rFonts w:ascii="Cambria Math" w:hAnsi="Cambria Math" w:cs="Segoe UI"/>
                <w:i/>
                <w:sz w:val="22"/>
                <w:szCs w:val="22"/>
              </w:rPr>
            </m:ctrlPr>
          </m:radPr>
          <m:deg/>
          <m:e>
            <m:sSub>
              <m:sSubPr>
                <m:ctrlPr>
                  <w:rPr>
                    <w:rStyle w:val="normaltextrun"/>
                    <w:rFonts w:ascii="Cambria Math" w:hAnsi="Cambria Math" w:cs="Segoe UI"/>
                    <w:i/>
                    <w:sz w:val="22"/>
                    <w:szCs w:val="22"/>
                  </w:rPr>
                </m:ctrlPr>
              </m:sSubPr>
              <m:e>
                <m:r>
                  <w:rPr>
                    <w:rStyle w:val="normaltextrun"/>
                    <w:rFonts w:ascii="Cambria Math" w:hAnsi="Cambria Math" w:cs="Segoe UI"/>
                    <w:sz w:val="22"/>
                    <w:szCs w:val="22"/>
                  </w:rPr>
                  <m:t>β</m:t>
                </m:r>
              </m:e>
              <m:sub>
                <m:r>
                  <w:rPr>
                    <w:rStyle w:val="normaltextrun"/>
                    <w:rFonts w:ascii="Cambria Math" w:hAnsi="Cambria Math" w:cs="Segoe UI"/>
                    <w:sz w:val="22"/>
                    <w:szCs w:val="22"/>
                  </w:rPr>
                  <m:t>p,ped</m:t>
                </m:r>
              </m:sub>
            </m:sSub>
          </m:e>
        </m:rad>
      </m:oMath>
      <w:r w:rsidR="00D62714">
        <w:rPr>
          <w:rStyle w:val="normaltextrun"/>
          <w:rFonts w:ascii="Calibri" w:hAnsi="Calibri" w:cs="Segoe UI"/>
          <w:sz w:val="22"/>
          <w:szCs w:val="22"/>
        </w:rPr>
        <w:t xml:space="preserve">, where </w:t>
      </w:r>
      <w:r w:rsidR="00D62714" w:rsidRPr="00D62714">
        <w:rPr>
          <w:rStyle w:val="normaltextrun"/>
          <w:rFonts w:ascii="Symbol" w:hAnsi="Symbol" w:cs="Segoe UI"/>
          <w:sz w:val="22"/>
          <w:szCs w:val="22"/>
        </w:rPr>
        <w:t></w:t>
      </w:r>
      <w:r w:rsidR="00D62714">
        <w:rPr>
          <w:rStyle w:val="normaltextrun"/>
          <w:rFonts w:ascii="Calibri" w:hAnsi="Calibri" w:cs="Segoe UI"/>
          <w:sz w:val="22"/>
          <w:szCs w:val="22"/>
        </w:rPr>
        <w:t xml:space="preserve"> is the pedestal width and </w:t>
      </w:r>
      <w:r w:rsidR="00D62714" w:rsidRPr="00D62714">
        <w:rPr>
          <w:rStyle w:val="normaltextrun"/>
          <w:rFonts w:ascii="Symbol" w:hAnsi="Symbol" w:cs="Segoe UI"/>
          <w:sz w:val="22"/>
          <w:szCs w:val="22"/>
        </w:rPr>
        <w:t></w:t>
      </w:r>
      <w:r w:rsidR="00D62714" w:rsidRPr="00D62714">
        <w:rPr>
          <w:rStyle w:val="normaltextrun"/>
          <w:rFonts w:ascii="Calibri" w:hAnsi="Calibri" w:cs="Segoe UI"/>
          <w:sz w:val="22"/>
          <w:szCs w:val="22"/>
          <w:vertAlign w:val="subscript"/>
        </w:rPr>
        <w:t>p,ped</w:t>
      </w:r>
      <w:r w:rsidR="00D62714">
        <w:rPr>
          <w:rStyle w:val="normaltextrun"/>
          <w:rFonts w:ascii="Calibri" w:hAnsi="Calibri" w:cs="Segoe UI"/>
          <w:sz w:val="22"/>
          <w:szCs w:val="22"/>
        </w:rPr>
        <w:t xml:space="preserve"> is the poloidal </w:t>
      </w:r>
      <w:r w:rsidR="00D62714" w:rsidRPr="00D62714">
        <w:rPr>
          <w:rStyle w:val="normaltextrun"/>
          <w:rFonts w:ascii="Symbol" w:hAnsi="Symbol" w:cs="Segoe UI"/>
          <w:sz w:val="22"/>
          <w:szCs w:val="22"/>
        </w:rPr>
        <w:t></w:t>
      </w:r>
      <w:r w:rsidR="00D62714">
        <w:rPr>
          <w:rStyle w:val="normaltextrun"/>
          <w:rFonts w:ascii="Calibri" w:hAnsi="Calibri" w:cs="Segoe UI"/>
          <w:sz w:val="22"/>
          <w:szCs w:val="22"/>
        </w:rPr>
        <w:t xml:space="preserve"> at the pedestal top. However, this constraint is based only on the fit of </w:t>
      </w:r>
      <w:r w:rsidR="006B6977">
        <w:rPr>
          <w:rStyle w:val="normaltextrun"/>
          <w:rFonts w:ascii="Calibri" w:hAnsi="Calibri" w:cs="Segoe UI"/>
          <w:sz w:val="22"/>
          <w:szCs w:val="22"/>
        </w:rPr>
        <w:t xml:space="preserve">experimental </w:t>
      </w:r>
      <w:r w:rsidR="00D62714">
        <w:rPr>
          <w:rStyle w:val="normaltextrun"/>
          <w:rFonts w:ascii="Calibri" w:hAnsi="Calibri" w:cs="Segoe UI"/>
          <w:sz w:val="22"/>
          <w:szCs w:val="22"/>
        </w:rPr>
        <w:t xml:space="preserve">data, and not </w:t>
      </w:r>
      <w:r w:rsidR="006B6977">
        <w:rPr>
          <w:rStyle w:val="normaltextrun"/>
          <w:rFonts w:ascii="Calibri" w:hAnsi="Calibri" w:cs="Segoe UI"/>
          <w:sz w:val="22"/>
          <w:szCs w:val="22"/>
        </w:rPr>
        <w:t xml:space="preserve">on </w:t>
      </w:r>
      <w:r w:rsidR="00D62714">
        <w:rPr>
          <w:rStyle w:val="normaltextrun"/>
          <w:rFonts w:ascii="Calibri" w:hAnsi="Calibri" w:cs="Segoe UI"/>
          <w:sz w:val="22"/>
          <w:szCs w:val="22"/>
        </w:rPr>
        <w:t xml:space="preserve">first-principles physics modelling. In order to </w:t>
      </w:r>
      <w:r w:rsidR="006B6977">
        <w:rPr>
          <w:rStyle w:val="normaltextrun"/>
          <w:rFonts w:ascii="Calibri" w:hAnsi="Calibri" w:cs="Segoe UI"/>
          <w:sz w:val="22"/>
          <w:szCs w:val="22"/>
        </w:rPr>
        <w:t xml:space="preserve">derive </w:t>
      </w:r>
      <w:r w:rsidR="00D62714">
        <w:rPr>
          <w:rStyle w:val="normaltextrun"/>
          <w:rFonts w:ascii="Calibri" w:hAnsi="Calibri" w:cs="Segoe UI"/>
          <w:sz w:val="22"/>
          <w:szCs w:val="22"/>
        </w:rPr>
        <w:t xml:space="preserve">a </w:t>
      </w:r>
      <w:r w:rsidR="00B625FF">
        <w:rPr>
          <w:rStyle w:val="normaltextrun"/>
          <w:rFonts w:ascii="Calibri" w:hAnsi="Calibri" w:cs="Segoe UI"/>
          <w:sz w:val="22"/>
          <w:szCs w:val="22"/>
        </w:rPr>
        <w:t xml:space="preserve">more detailed physics </w:t>
      </w:r>
      <w:r w:rsidR="00D62714">
        <w:rPr>
          <w:rStyle w:val="normaltextrun"/>
          <w:rFonts w:ascii="Calibri" w:hAnsi="Calibri" w:cs="Segoe UI"/>
          <w:sz w:val="22"/>
          <w:szCs w:val="22"/>
        </w:rPr>
        <w:t xml:space="preserve">model, we have developed a </w:t>
      </w:r>
      <w:r w:rsidR="006B6977">
        <w:rPr>
          <w:rStyle w:val="normaltextrun"/>
          <w:rFonts w:ascii="Calibri" w:hAnsi="Calibri" w:cs="Segoe UI"/>
          <w:sz w:val="22"/>
          <w:szCs w:val="22"/>
        </w:rPr>
        <w:t xml:space="preserve">method </w:t>
      </w:r>
      <w:r w:rsidR="00D62714">
        <w:rPr>
          <w:rStyle w:val="normaltextrun"/>
          <w:rFonts w:ascii="Calibri" w:hAnsi="Calibri" w:cs="Segoe UI"/>
          <w:sz w:val="22"/>
          <w:szCs w:val="22"/>
        </w:rPr>
        <w:t xml:space="preserve">to </w:t>
      </w:r>
      <w:r w:rsidR="00B625FF">
        <w:rPr>
          <w:rStyle w:val="normaltextrun"/>
          <w:rFonts w:ascii="Calibri" w:hAnsi="Calibri" w:cs="Segoe UI"/>
          <w:sz w:val="22"/>
          <w:szCs w:val="22"/>
        </w:rPr>
        <w:t>approximate the pedestal KBM limit using gyrokinetic simulations.</w:t>
      </w:r>
    </w:p>
    <w:p w:rsidR="008F6B7B" w:rsidRDefault="008F6B7B" w:rsidP="00D323A7">
      <w:pPr>
        <w:pStyle w:val="paragraph"/>
        <w:spacing w:before="0" w:beforeAutospacing="0" w:after="0" w:afterAutospacing="0"/>
        <w:jc w:val="both"/>
        <w:textAlignment w:val="baseline"/>
        <w:rPr>
          <w:rStyle w:val="normaltextrun"/>
          <w:rFonts w:ascii="Calibri" w:hAnsi="Calibri" w:cs="Segoe UI"/>
          <w:sz w:val="22"/>
          <w:szCs w:val="22"/>
        </w:rPr>
      </w:pPr>
    </w:p>
    <w:p w:rsidR="001E314B" w:rsidRDefault="001E314B" w:rsidP="00D323A7">
      <w:pPr>
        <w:pStyle w:val="paragraph"/>
        <w:spacing w:before="0" w:beforeAutospacing="0" w:after="0" w:afterAutospacing="0"/>
        <w:jc w:val="both"/>
        <w:textAlignment w:val="baseline"/>
        <w:rPr>
          <w:rStyle w:val="eop"/>
          <w:rFonts w:ascii="Calibri" w:hAnsi="Calibri" w:cs="Segoe UI"/>
          <w:sz w:val="22"/>
          <w:szCs w:val="22"/>
        </w:rPr>
      </w:pPr>
      <w:r>
        <w:rPr>
          <w:rStyle w:val="normaltextrun"/>
          <w:rFonts w:ascii="Calibri" w:hAnsi="Calibri" w:cs="Segoe UI"/>
          <w:sz w:val="22"/>
          <w:szCs w:val="22"/>
        </w:rPr>
        <w:t>In the pedestal region the assumption used in the local</w:t>
      </w:r>
      <w:r>
        <w:rPr>
          <w:rStyle w:val="apple-converted-space"/>
          <w:rFonts w:ascii="Calibri" w:hAnsi="Calibri" w:cs="Segoe UI"/>
          <w:sz w:val="22"/>
          <w:szCs w:val="22"/>
        </w:rPr>
        <w:t> </w:t>
      </w:r>
      <w:r>
        <w:rPr>
          <w:rStyle w:val="normaltextrun"/>
          <w:rFonts w:ascii="Calibri" w:hAnsi="Calibri" w:cs="Segoe UI"/>
          <w:sz w:val="22"/>
          <w:szCs w:val="22"/>
        </w:rPr>
        <w:t>gyrokinetic</w:t>
      </w:r>
      <w:r>
        <w:rPr>
          <w:rStyle w:val="apple-converted-space"/>
          <w:rFonts w:ascii="Calibri" w:hAnsi="Calibri" w:cs="Segoe UI"/>
          <w:sz w:val="22"/>
          <w:szCs w:val="22"/>
        </w:rPr>
        <w:t> </w:t>
      </w:r>
      <w:r>
        <w:rPr>
          <w:rStyle w:val="normaltextrun"/>
          <w:rFonts w:ascii="Calibri" w:hAnsi="Calibri" w:cs="Segoe UI"/>
          <w:sz w:val="22"/>
          <w:szCs w:val="22"/>
        </w:rPr>
        <w:t xml:space="preserve">theory that the equilibrium scale lengths are much longer than the modes studied is not very well fulfilled. This is especially true for </w:t>
      </w:r>
      <w:r w:rsidR="008F6B7B">
        <w:rPr>
          <w:rStyle w:val="normaltextrun"/>
          <w:rFonts w:ascii="Calibri" w:hAnsi="Calibri" w:cs="Segoe UI"/>
          <w:sz w:val="22"/>
          <w:szCs w:val="22"/>
        </w:rPr>
        <w:t>KBMs</w:t>
      </w:r>
      <w:r>
        <w:rPr>
          <w:rStyle w:val="apple-converted-space"/>
          <w:rFonts w:ascii="Calibri" w:hAnsi="Calibri" w:cs="Segoe UI"/>
          <w:sz w:val="22"/>
          <w:szCs w:val="22"/>
        </w:rPr>
        <w:t> </w:t>
      </w:r>
      <w:r>
        <w:rPr>
          <w:rStyle w:val="normaltextrun"/>
          <w:rFonts w:ascii="Calibri" w:hAnsi="Calibri" w:cs="Segoe UI"/>
          <w:sz w:val="22"/>
          <w:szCs w:val="22"/>
        </w:rPr>
        <w:t>that have very long wave lengths, k</w:t>
      </w:r>
      <w:r>
        <w:rPr>
          <w:rStyle w:val="normaltextrun"/>
          <w:rFonts w:ascii="Symbol" w:hAnsi="Symbol" w:cs="Segoe UI"/>
          <w:sz w:val="17"/>
          <w:szCs w:val="17"/>
          <w:vertAlign w:val="subscript"/>
        </w:rPr>
        <w:sym w:font="Symbol" w:char="F071"/>
      </w:r>
      <w:r>
        <w:rPr>
          <w:rStyle w:val="normaltextrun"/>
          <w:rFonts w:ascii="Symbol" w:hAnsi="Symbol" w:cs="Segoe UI"/>
          <w:sz w:val="22"/>
          <w:szCs w:val="22"/>
        </w:rPr>
        <w:sym w:font="Symbol" w:char="F072"/>
      </w:r>
      <w:r>
        <w:rPr>
          <w:rStyle w:val="spellingerror"/>
          <w:rFonts w:ascii="Calibri" w:hAnsi="Calibri" w:cs="Segoe UI"/>
          <w:sz w:val="17"/>
          <w:szCs w:val="17"/>
          <w:vertAlign w:val="subscript"/>
        </w:rPr>
        <w:t>i</w:t>
      </w:r>
      <w:r>
        <w:rPr>
          <w:rStyle w:val="normaltextrun"/>
          <w:rFonts w:ascii="Calibri" w:hAnsi="Calibri" w:cs="Segoe UI"/>
          <w:sz w:val="22"/>
          <w:szCs w:val="22"/>
        </w:rPr>
        <w:t>&lt;1, where k</w:t>
      </w:r>
      <w:r>
        <w:rPr>
          <w:rStyle w:val="normaltextrun"/>
          <w:rFonts w:ascii="Symbol" w:hAnsi="Symbol" w:cs="Segoe UI"/>
          <w:sz w:val="17"/>
          <w:szCs w:val="17"/>
          <w:vertAlign w:val="subscript"/>
        </w:rPr>
        <w:sym w:font="Symbol" w:char="F071"/>
      </w:r>
      <w:r>
        <w:rPr>
          <w:rStyle w:val="apple-converted-space"/>
          <w:rFonts w:ascii="Calibri" w:hAnsi="Calibri" w:cs="Segoe UI"/>
          <w:sz w:val="22"/>
          <w:szCs w:val="22"/>
        </w:rPr>
        <w:t> </w:t>
      </w:r>
      <w:r>
        <w:rPr>
          <w:rStyle w:val="normaltextrun"/>
          <w:rFonts w:ascii="Calibri" w:hAnsi="Calibri" w:cs="Segoe UI"/>
          <w:sz w:val="22"/>
          <w:szCs w:val="22"/>
        </w:rPr>
        <w:t>is the</w:t>
      </w:r>
      <w:r>
        <w:rPr>
          <w:rStyle w:val="apple-converted-space"/>
          <w:rFonts w:ascii="Calibri" w:hAnsi="Calibri" w:cs="Segoe UI"/>
          <w:sz w:val="22"/>
          <w:szCs w:val="22"/>
        </w:rPr>
        <w:t> </w:t>
      </w:r>
      <w:r>
        <w:rPr>
          <w:rStyle w:val="normaltextrun"/>
          <w:rFonts w:ascii="Calibri" w:hAnsi="Calibri" w:cs="Segoe UI"/>
          <w:sz w:val="22"/>
          <w:szCs w:val="22"/>
        </w:rPr>
        <w:t>poloidal</w:t>
      </w:r>
      <w:r>
        <w:rPr>
          <w:rStyle w:val="apple-converted-space"/>
          <w:rFonts w:ascii="Calibri" w:hAnsi="Calibri" w:cs="Segoe UI"/>
          <w:sz w:val="22"/>
          <w:szCs w:val="22"/>
        </w:rPr>
        <w:t> </w:t>
      </w:r>
      <w:r>
        <w:rPr>
          <w:rStyle w:val="normaltextrun"/>
          <w:rFonts w:ascii="Calibri" w:hAnsi="Calibri" w:cs="Segoe UI"/>
          <w:sz w:val="22"/>
          <w:szCs w:val="22"/>
        </w:rPr>
        <w:t>wave number and</w:t>
      </w:r>
      <w:r>
        <w:rPr>
          <w:rStyle w:val="apple-converted-space"/>
          <w:rFonts w:ascii="Calibri" w:hAnsi="Calibri" w:cs="Segoe UI"/>
          <w:sz w:val="22"/>
          <w:szCs w:val="22"/>
        </w:rPr>
        <w:t> </w:t>
      </w:r>
      <w:r>
        <w:rPr>
          <w:rStyle w:val="normaltextrun"/>
          <w:rFonts w:ascii="Symbol" w:hAnsi="Symbol" w:cs="Segoe UI"/>
          <w:sz w:val="22"/>
          <w:szCs w:val="22"/>
        </w:rPr>
        <w:sym w:font="Symbol" w:char="F072"/>
      </w:r>
      <w:r>
        <w:rPr>
          <w:rStyle w:val="spellingerror"/>
          <w:rFonts w:ascii="Calibri" w:hAnsi="Calibri" w:cs="Segoe UI"/>
          <w:sz w:val="17"/>
          <w:szCs w:val="17"/>
          <w:vertAlign w:val="subscript"/>
        </w:rPr>
        <w:t>i</w:t>
      </w:r>
      <w:r>
        <w:rPr>
          <w:rStyle w:val="apple-converted-space"/>
          <w:rFonts w:ascii="Calibri" w:hAnsi="Calibri" w:cs="Segoe UI"/>
          <w:sz w:val="17"/>
          <w:szCs w:val="17"/>
          <w:vertAlign w:val="subscript"/>
        </w:rPr>
        <w:t> </w:t>
      </w:r>
      <w:r>
        <w:rPr>
          <w:rStyle w:val="normaltextrun"/>
          <w:rFonts w:ascii="Calibri" w:hAnsi="Calibri" w:cs="Segoe UI"/>
          <w:sz w:val="22"/>
          <w:szCs w:val="22"/>
        </w:rPr>
        <w:t>is the ion</w:t>
      </w:r>
      <w:r>
        <w:rPr>
          <w:rStyle w:val="apple-converted-space"/>
          <w:rFonts w:ascii="Calibri" w:hAnsi="Calibri" w:cs="Segoe UI"/>
          <w:sz w:val="22"/>
          <w:szCs w:val="22"/>
        </w:rPr>
        <w:t> </w:t>
      </w:r>
      <w:r>
        <w:rPr>
          <w:rStyle w:val="spellingerror"/>
          <w:rFonts w:ascii="Calibri" w:hAnsi="Calibri" w:cs="Segoe UI"/>
          <w:sz w:val="22"/>
          <w:szCs w:val="22"/>
        </w:rPr>
        <w:t>Larmor</w:t>
      </w:r>
      <w:r>
        <w:rPr>
          <w:rStyle w:val="apple-converted-space"/>
          <w:rFonts w:ascii="Calibri" w:hAnsi="Calibri" w:cs="Segoe UI"/>
          <w:sz w:val="22"/>
          <w:szCs w:val="22"/>
        </w:rPr>
        <w:t> </w:t>
      </w:r>
      <w:r>
        <w:rPr>
          <w:rStyle w:val="normaltextrun"/>
          <w:rFonts w:ascii="Calibri" w:hAnsi="Calibri" w:cs="Segoe UI"/>
          <w:sz w:val="22"/>
          <w:szCs w:val="22"/>
        </w:rPr>
        <w:t>radius. This problem can be overcome using global</w:t>
      </w:r>
      <w:r>
        <w:rPr>
          <w:rStyle w:val="apple-converted-space"/>
          <w:rFonts w:ascii="Calibri" w:hAnsi="Calibri" w:cs="Segoe UI"/>
          <w:sz w:val="22"/>
          <w:szCs w:val="22"/>
        </w:rPr>
        <w:t> </w:t>
      </w:r>
      <w:r>
        <w:rPr>
          <w:rStyle w:val="normaltextrun"/>
          <w:rFonts w:ascii="Calibri" w:hAnsi="Calibri" w:cs="Segoe UI"/>
          <w:sz w:val="22"/>
          <w:szCs w:val="22"/>
        </w:rPr>
        <w:t>gyrokinetic</w:t>
      </w:r>
      <w:r>
        <w:rPr>
          <w:rStyle w:val="apple-converted-space"/>
          <w:rFonts w:ascii="Calibri" w:hAnsi="Calibri" w:cs="Segoe UI"/>
          <w:sz w:val="22"/>
          <w:szCs w:val="22"/>
        </w:rPr>
        <w:t> </w:t>
      </w:r>
      <w:r>
        <w:rPr>
          <w:rStyle w:val="normaltextrun"/>
          <w:rFonts w:ascii="Calibri" w:hAnsi="Calibri" w:cs="Segoe UI"/>
          <w:sz w:val="22"/>
          <w:szCs w:val="22"/>
        </w:rPr>
        <w:t xml:space="preserve">simulations that allow realistic equilibrium variation in the simulation region. </w:t>
      </w:r>
      <w:r w:rsidR="00092AF6">
        <w:rPr>
          <w:rStyle w:val="normaltextrun"/>
          <w:rFonts w:ascii="Calibri" w:hAnsi="Calibri" w:cs="Segoe UI"/>
          <w:sz w:val="22"/>
          <w:szCs w:val="22"/>
        </w:rPr>
        <w:t xml:space="preserve">In order to overcome the intrinsic problem with the boundary condition </w:t>
      </w:r>
      <w:r w:rsidR="006B6977">
        <w:rPr>
          <w:rStyle w:val="normaltextrun"/>
          <w:rFonts w:ascii="Calibri" w:hAnsi="Calibri" w:cs="Segoe UI"/>
          <w:sz w:val="22"/>
          <w:szCs w:val="22"/>
        </w:rPr>
        <w:t xml:space="preserve">that the mode amplitude has to go to zero at the simulation edge </w:t>
      </w:r>
      <w:r w:rsidR="00092AF6">
        <w:rPr>
          <w:rStyle w:val="normaltextrun"/>
          <w:rFonts w:ascii="Calibri" w:hAnsi="Calibri" w:cs="Segoe UI"/>
          <w:sz w:val="22"/>
          <w:szCs w:val="22"/>
        </w:rPr>
        <w:t>in global pedestal simulations</w:t>
      </w:r>
      <w:r>
        <w:rPr>
          <w:rStyle w:val="normaltextrun"/>
          <w:rFonts w:ascii="Calibri" w:hAnsi="Calibri" w:cs="Segoe UI"/>
          <w:sz w:val="22"/>
          <w:szCs w:val="22"/>
        </w:rPr>
        <w:t>, we created an artificial boundary region with flat profiles between the pedestal and the plasma boundary. This treatment still produces identical results in the local</w:t>
      </w:r>
      <w:r>
        <w:rPr>
          <w:rStyle w:val="apple-converted-space"/>
          <w:rFonts w:ascii="Calibri" w:hAnsi="Calibri" w:cs="Segoe UI"/>
          <w:sz w:val="22"/>
          <w:szCs w:val="22"/>
        </w:rPr>
        <w:t> </w:t>
      </w:r>
      <w:r>
        <w:rPr>
          <w:rStyle w:val="normaltextrun"/>
          <w:rFonts w:ascii="Calibri" w:hAnsi="Calibri" w:cs="Segoe UI"/>
          <w:sz w:val="22"/>
          <w:szCs w:val="22"/>
        </w:rPr>
        <w:t>treatment as the experimental</w:t>
      </w:r>
      <w:r w:rsidR="006B6977">
        <w:rPr>
          <w:rStyle w:val="normaltextrun"/>
          <w:rFonts w:ascii="Calibri" w:hAnsi="Calibri" w:cs="Segoe UI"/>
          <w:sz w:val="22"/>
          <w:szCs w:val="22"/>
        </w:rPr>
        <w:t xml:space="preserve"> equilibrium</w:t>
      </w:r>
      <w:r>
        <w:rPr>
          <w:rStyle w:val="normaltextrun"/>
          <w:rFonts w:ascii="Calibri" w:hAnsi="Calibri" w:cs="Segoe UI"/>
          <w:sz w:val="22"/>
          <w:szCs w:val="22"/>
        </w:rPr>
        <w:t>, but avoids the boundary issue in the global simulation. In this way we can investigate the effect of steep equilibrium scale gradients on the pedestal</w:t>
      </w:r>
      <w:r>
        <w:rPr>
          <w:rStyle w:val="apple-converted-space"/>
          <w:rFonts w:ascii="Calibri" w:hAnsi="Calibri" w:cs="Segoe UI"/>
          <w:sz w:val="22"/>
          <w:szCs w:val="22"/>
        </w:rPr>
        <w:t> </w:t>
      </w:r>
      <w:r>
        <w:rPr>
          <w:rStyle w:val="spellingerror"/>
          <w:rFonts w:ascii="Calibri" w:hAnsi="Calibri" w:cs="Segoe UI"/>
          <w:sz w:val="22"/>
          <w:szCs w:val="22"/>
        </w:rPr>
        <w:t>microinstabilities</w:t>
      </w:r>
      <w:r>
        <w:rPr>
          <w:rStyle w:val="apple-converted-space"/>
          <w:rFonts w:ascii="Calibri" w:hAnsi="Calibri" w:cs="Segoe UI"/>
          <w:sz w:val="22"/>
          <w:szCs w:val="22"/>
        </w:rPr>
        <w:t> </w:t>
      </w:r>
      <w:r>
        <w:rPr>
          <w:rStyle w:val="normaltextrun"/>
          <w:rFonts w:ascii="Calibri" w:hAnsi="Calibri" w:cs="Segoe UI"/>
          <w:sz w:val="22"/>
          <w:szCs w:val="22"/>
        </w:rPr>
        <w:t>without the boundary problem of the global treatment. </w:t>
      </w:r>
      <w:r>
        <w:rPr>
          <w:rStyle w:val="eop"/>
          <w:rFonts w:ascii="Calibri" w:eastAsia="MS Gothic" w:hAnsi="Calibri" w:cs="Segoe UI"/>
          <w:sz w:val="22"/>
          <w:szCs w:val="22"/>
        </w:rPr>
        <w:t> </w:t>
      </w:r>
    </w:p>
    <w:p w:rsidR="001E314B" w:rsidRDefault="001E314B" w:rsidP="00D323A7">
      <w:pPr>
        <w:pStyle w:val="paragraph"/>
        <w:spacing w:before="0" w:beforeAutospacing="0" w:after="0" w:afterAutospacing="0"/>
        <w:jc w:val="both"/>
        <w:textAlignment w:val="baseline"/>
        <w:rPr>
          <w:rFonts w:ascii="Segoe UI" w:hAnsi="Segoe UI" w:cs="Segoe UI"/>
          <w:sz w:val="12"/>
          <w:szCs w:val="12"/>
        </w:rPr>
      </w:pPr>
    </w:p>
    <w:p w:rsidR="006611B6" w:rsidRPr="001B4443" w:rsidRDefault="001E314B" w:rsidP="00D323A7">
      <w:pPr>
        <w:pStyle w:val="paragraph"/>
        <w:spacing w:before="0" w:beforeAutospacing="0" w:after="0" w:afterAutospacing="0"/>
        <w:jc w:val="both"/>
        <w:textAlignment w:val="baseline"/>
        <w:rPr>
          <w:rStyle w:val="eop"/>
          <w:rFonts w:ascii="Calibri" w:hAnsi="Calibri" w:cs="Segoe UI"/>
          <w:sz w:val="22"/>
          <w:szCs w:val="22"/>
        </w:rPr>
      </w:pPr>
      <w:r>
        <w:rPr>
          <w:rStyle w:val="normaltextrun"/>
          <w:rFonts w:ascii="Calibri" w:hAnsi="Calibri" w:cs="Segoe UI"/>
          <w:sz w:val="22"/>
          <w:szCs w:val="22"/>
        </w:rPr>
        <w:t xml:space="preserve">In the analysis comparing the local and global linear KBM stability in both MAST and JET like pedestals, we find that if the </w:t>
      </w:r>
      <w:r w:rsidR="006B6977">
        <w:rPr>
          <w:rStyle w:val="normaltextrun"/>
          <w:rFonts w:ascii="Calibri" w:hAnsi="Calibri" w:cs="Segoe UI"/>
          <w:sz w:val="22"/>
          <w:szCs w:val="22"/>
        </w:rPr>
        <w:t xml:space="preserve">edge </w:t>
      </w:r>
      <w:r>
        <w:rPr>
          <w:rStyle w:val="normaltextrun"/>
          <w:rFonts w:ascii="Calibri" w:hAnsi="Calibri" w:cs="Segoe UI"/>
          <w:sz w:val="22"/>
          <w:szCs w:val="22"/>
        </w:rPr>
        <w:t xml:space="preserve">bootstrap current that flattens the q-profile in the pedestal is artificially suppressed, the local and global result agree well, but if the </w:t>
      </w:r>
      <w:r w:rsidR="006B6977">
        <w:rPr>
          <w:rStyle w:val="normaltextrun"/>
          <w:rFonts w:ascii="Calibri" w:hAnsi="Calibri" w:cs="Segoe UI"/>
          <w:sz w:val="22"/>
          <w:szCs w:val="22"/>
        </w:rPr>
        <w:t xml:space="preserve">edge </w:t>
      </w:r>
      <w:r>
        <w:rPr>
          <w:rStyle w:val="normaltextrun"/>
          <w:rFonts w:ascii="Calibri" w:hAnsi="Calibri" w:cs="Segoe UI"/>
          <w:sz w:val="22"/>
          <w:szCs w:val="22"/>
        </w:rPr>
        <w:t xml:space="preserve">bootstrap current is </w:t>
      </w:r>
      <w:r>
        <w:rPr>
          <w:rStyle w:val="normaltextrun"/>
          <w:rFonts w:ascii="Calibri" w:hAnsi="Calibri" w:cs="Segoe UI"/>
          <w:sz w:val="22"/>
          <w:szCs w:val="22"/>
        </w:rPr>
        <w:lastRenderedPageBreak/>
        <w:t>taken into accou</w:t>
      </w:r>
      <w:r w:rsidR="001B4443">
        <w:rPr>
          <w:rStyle w:val="normaltextrun"/>
          <w:rFonts w:ascii="Calibri" w:hAnsi="Calibri" w:cs="Segoe UI"/>
          <w:sz w:val="22"/>
          <w:szCs w:val="22"/>
        </w:rPr>
        <w:t xml:space="preserve">nt in the equilibrium, </w:t>
      </w:r>
      <w:r>
        <w:rPr>
          <w:rStyle w:val="normaltextrun"/>
          <w:rFonts w:ascii="Calibri" w:hAnsi="Calibri" w:cs="Segoe UI"/>
          <w:sz w:val="22"/>
          <w:szCs w:val="22"/>
        </w:rPr>
        <w:t xml:space="preserve">in the local linear simulation </w:t>
      </w:r>
      <w:r w:rsidR="001B4443">
        <w:rPr>
          <w:rStyle w:val="normaltextrun"/>
          <w:rFonts w:ascii="Calibri" w:hAnsi="Calibri" w:cs="Segoe UI"/>
          <w:sz w:val="22"/>
          <w:szCs w:val="22"/>
        </w:rPr>
        <w:t xml:space="preserve">the KBMs </w:t>
      </w:r>
      <w:r>
        <w:rPr>
          <w:rStyle w:val="normaltextrun"/>
          <w:rFonts w:ascii="Calibri" w:hAnsi="Calibri" w:cs="Segoe UI"/>
          <w:sz w:val="22"/>
          <w:szCs w:val="22"/>
        </w:rPr>
        <w:t xml:space="preserve">access </w:t>
      </w:r>
      <w:r w:rsidR="001B4443">
        <w:rPr>
          <w:rStyle w:val="normaltextrun"/>
          <w:rFonts w:ascii="Calibri" w:hAnsi="Calibri" w:cs="Segoe UI"/>
          <w:sz w:val="22"/>
          <w:szCs w:val="22"/>
        </w:rPr>
        <w:t xml:space="preserve">the </w:t>
      </w:r>
      <w:r>
        <w:rPr>
          <w:rStyle w:val="normaltextrun"/>
          <w:rFonts w:ascii="Calibri" w:hAnsi="Calibri" w:cs="Segoe UI"/>
          <w:sz w:val="22"/>
          <w:szCs w:val="22"/>
        </w:rPr>
        <w:t>so-called second stability and become stabilised while in the global simulation</w:t>
      </w:r>
      <w:r w:rsidR="001B4443">
        <w:rPr>
          <w:rStyle w:val="normaltextrun"/>
          <w:rFonts w:ascii="Calibri" w:hAnsi="Calibri" w:cs="Segoe UI"/>
          <w:sz w:val="22"/>
          <w:szCs w:val="22"/>
        </w:rPr>
        <w:t xml:space="preserve"> using ORB5 code</w:t>
      </w:r>
      <w:r>
        <w:rPr>
          <w:rStyle w:val="normaltextrun"/>
          <w:rFonts w:ascii="Calibri" w:hAnsi="Calibri" w:cs="Segoe UI"/>
          <w:sz w:val="22"/>
          <w:szCs w:val="22"/>
        </w:rPr>
        <w:t xml:space="preserve"> </w:t>
      </w:r>
      <w:r w:rsidR="006B6977">
        <w:rPr>
          <w:rStyle w:val="normaltextrun"/>
          <w:rFonts w:ascii="Calibri" w:hAnsi="Calibri" w:cs="Segoe UI"/>
          <w:sz w:val="22"/>
          <w:szCs w:val="22"/>
        </w:rPr>
        <w:t xml:space="preserve">the </w:t>
      </w:r>
      <w:r>
        <w:rPr>
          <w:rStyle w:val="normaltextrun"/>
          <w:rFonts w:ascii="Calibri" w:hAnsi="Calibri" w:cs="Segoe UI"/>
          <w:sz w:val="22"/>
          <w:szCs w:val="22"/>
        </w:rPr>
        <w:t>bootstrap current has little effect on the KBM stability</w:t>
      </w:r>
      <w:r w:rsidR="00092AF6">
        <w:rPr>
          <w:rStyle w:val="normaltextrun"/>
          <w:rFonts w:ascii="Calibri" w:hAnsi="Calibri" w:cs="Segoe UI"/>
          <w:sz w:val="22"/>
          <w:szCs w:val="22"/>
        </w:rPr>
        <w:t xml:space="preserve"> [2]</w:t>
      </w:r>
      <w:r>
        <w:rPr>
          <w:rStyle w:val="normaltextrun"/>
          <w:rFonts w:ascii="Calibri" w:hAnsi="Calibri" w:cs="Segoe UI"/>
          <w:sz w:val="22"/>
          <w:szCs w:val="22"/>
        </w:rPr>
        <w:t xml:space="preserve">. </w:t>
      </w:r>
      <w:r w:rsidR="005F27D4">
        <w:rPr>
          <w:rStyle w:val="normaltextrun"/>
          <w:rFonts w:ascii="Calibri" w:hAnsi="Calibri" w:cs="Segoe UI"/>
          <w:sz w:val="22"/>
          <w:szCs w:val="22"/>
        </w:rPr>
        <w:t xml:space="preserve">This is shown in Fig. 1. where the </w:t>
      </w:r>
      <w:r w:rsidR="006B6977">
        <w:rPr>
          <w:rStyle w:val="normaltextrun"/>
          <w:rFonts w:ascii="Calibri" w:hAnsi="Calibri" w:cs="Segoe UI"/>
          <w:sz w:val="22"/>
          <w:szCs w:val="22"/>
        </w:rPr>
        <w:t xml:space="preserve">KBM growth rates </w:t>
      </w:r>
      <w:r w:rsidR="005F27D4">
        <w:rPr>
          <w:rStyle w:val="normaltextrun"/>
          <w:rFonts w:ascii="Calibri" w:hAnsi="Calibri" w:cs="Segoe UI"/>
          <w:sz w:val="22"/>
          <w:szCs w:val="22"/>
        </w:rPr>
        <w:t xml:space="preserve">from local and global </w:t>
      </w:r>
      <w:r w:rsidR="005F27D4" w:rsidRPr="001B4443">
        <w:rPr>
          <w:rStyle w:val="normaltextrun"/>
          <w:rFonts w:ascii="Symbol" w:hAnsi="Symbol" w:cs="Segoe UI"/>
          <w:sz w:val="22"/>
          <w:szCs w:val="22"/>
        </w:rPr>
        <w:t></w:t>
      </w:r>
      <w:r w:rsidR="005F27D4">
        <w:rPr>
          <w:rStyle w:val="normaltextrun"/>
          <w:rFonts w:ascii="Calibri" w:hAnsi="Calibri" w:cs="Segoe UI"/>
          <w:sz w:val="22"/>
          <w:szCs w:val="22"/>
        </w:rPr>
        <w:t xml:space="preserve">-scan are plotted. </w:t>
      </w:r>
      <w:r>
        <w:rPr>
          <w:rStyle w:val="normaltextrun"/>
          <w:rFonts w:ascii="Calibri" w:hAnsi="Calibri" w:cs="Segoe UI"/>
          <w:sz w:val="22"/>
          <w:szCs w:val="22"/>
        </w:rPr>
        <w:t>This allows</w:t>
      </w:r>
      <w:r>
        <w:rPr>
          <w:rStyle w:val="apple-converted-space"/>
          <w:rFonts w:ascii="Calibri" w:hAnsi="Calibri" w:cs="Segoe UI"/>
          <w:sz w:val="22"/>
          <w:szCs w:val="22"/>
        </w:rPr>
        <w:t> </w:t>
      </w:r>
      <w:r w:rsidR="005F27D4">
        <w:rPr>
          <w:rStyle w:val="apple-converted-space"/>
          <w:rFonts w:ascii="Calibri" w:hAnsi="Calibri" w:cs="Segoe UI"/>
          <w:sz w:val="22"/>
          <w:szCs w:val="22"/>
        </w:rPr>
        <w:t xml:space="preserve">us </w:t>
      </w:r>
      <w:r>
        <w:rPr>
          <w:rStyle w:val="normaltextrun"/>
          <w:rFonts w:ascii="Calibri" w:hAnsi="Calibri" w:cs="Segoe UI"/>
          <w:sz w:val="22"/>
          <w:szCs w:val="22"/>
        </w:rPr>
        <w:t>to use</w:t>
      </w:r>
      <w:r>
        <w:rPr>
          <w:rStyle w:val="apple-converted-space"/>
          <w:rFonts w:ascii="Calibri" w:hAnsi="Calibri" w:cs="Segoe UI"/>
          <w:sz w:val="22"/>
          <w:szCs w:val="22"/>
        </w:rPr>
        <w:t> </w:t>
      </w:r>
      <w:r>
        <w:rPr>
          <w:rStyle w:val="normaltextrun"/>
          <w:rFonts w:ascii="Calibri" w:hAnsi="Calibri" w:cs="Segoe UI"/>
          <w:sz w:val="22"/>
          <w:szCs w:val="22"/>
        </w:rPr>
        <w:t>the computationally much cheaper local</w:t>
      </w:r>
      <w:r>
        <w:rPr>
          <w:rStyle w:val="apple-converted-space"/>
          <w:rFonts w:ascii="Calibri" w:hAnsi="Calibri" w:cs="Segoe UI"/>
          <w:sz w:val="22"/>
          <w:szCs w:val="22"/>
        </w:rPr>
        <w:t> </w:t>
      </w:r>
      <w:r>
        <w:rPr>
          <w:rStyle w:val="normaltextrun"/>
          <w:rFonts w:ascii="Calibri" w:hAnsi="Calibri" w:cs="Segoe UI"/>
          <w:sz w:val="22"/>
          <w:szCs w:val="22"/>
        </w:rPr>
        <w:t>gyrokinetic</w:t>
      </w:r>
      <w:r>
        <w:rPr>
          <w:rStyle w:val="apple-converted-space"/>
          <w:rFonts w:ascii="Calibri" w:hAnsi="Calibri" w:cs="Segoe UI"/>
          <w:sz w:val="22"/>
          <w:szCs w:val="22"/>
        </w:rPr>
        <w:t> </w:t>
      </w:r>
      <w:r>
        <w:rPr>
          <w:rStyle w:val="normaltextrun"/>
          <w:rFonts w:ascii="Calibri" w:hAnsi="Calibri" w:cs="Segoe UI"/>
          <w:sz w:val="22"/>
          <w:szCs w:val="22"/>
        </w:rPr>
        <w:t>result as a proxy for the global KBM stability. The global KBM in a realistic pedestal can be approximated by the local KBM limit</w:t>
      </w:r>
      <w:r w:rsidR="00092AF6">
        <w:rPr>
          <w:rStyle w:val="normaltextrun"/>
          <w:rFonts w:ascii="Calibri" w:hAnsi="Calibri" w:cs="Segoe UI"/>
          <w:sz w:val="22"/>
          <w:szCs w:val="22"/>
        </w:rPr>
        <w:t xml:space="preserve"> at the maximum pressure gradient</w:t>
      </w:r>
      <w:r>
        <w:rPr>
          <w:rStyle w:val="normaltextrun"/>
          <w:rFonts w:ascii="Calibri" w:hAnsi="Calibri" w:cs="Segoe UI"/>
          <w:sz w:val="22"/>
          <w:szCs w:val="22"/>
        </w:rPr>
        <w:t xml:space="preserve"> for</w:t>
      </w:r>
      <w:r>
        <w:rPr>
          <w:rStyle w:val="apple-converted-space"/>
          <w:rFonts w:ascii="Calibri" w:hAnsi="Calibri" w:cs="Segoe UI"/>
          <w:sz w:val="22"/>
          <w:szCs w:val="22"/>
        </w:rPr>
        <w:t> </w:t>
      </w:r>
      <w:r>
        <w:rPr>
          <w:rStyle w:val="normaltextrun"/>
          <w:rFonts w:ascii="Calibri" w:hAnsi="Calibri" w:cs="Segoe UI"/>
          <w:sz w:val="22"/>
          <w:szCs w:val="22"/>
        </w:rPr>
        <w:t>an</w:t>
      </w:r>
      <w:r w:rsidR="001B4443">
        <w:rPr>
          <w:rStyle w:val="normaltextrun"/>
          <w:rFonts w:ascii="Calibri" w:hAnsi="Calibri" w:cs="Segoe UI"/>
          <w:sz w:val="22"/>
          <w:szCs w:val="22"/>
        </w:rPr>
        <w:t xml:space="preserve"> </w:t>
      </w:r>
      <w:r>
        <w:rPr>
          <w:rStyle w:val="normaltextrun"/>
          <w:rFonts w:ascii="Calibri" w:hAnsi="Calibri" w:cs="Segoe UI"/>
          <w:sz w:val="22"/>
          <w:szCs w:val="22"/>
        </w:rPr>
        <w:t>equilibrium</w:t>
      </w:r>
      <w:r>
        <w:rPr>
          <w:rStyle w:val="apple-converted-space"/>
          <w:rFonts w:ascii="Calibri" w:hAnsi="Calibri" w:cs="Segoe UI"/>
          <w:sz w:val="22"/>
          <w:szCs w:val="22"/>
        </w:rPr>
        <w:t> </w:t>
      </w:r>
      <w:r>
        <w:rPr>
          <w:rStyle w:val="normaltextrun"/>
          <w:rFonts w:ascii="Calibri" w:hAnsi="Calibri" w:cs="Segoe UI"/>
          <w:sz w:val="22"/>
          <w:szCs w:val="22"/>
        </w:rPr>
        <w:t>where the bootstrap current has been artificially suppressed. </w:t>
      </w:r>
      <w:r w:rsidR="00CE12A4">
        <w:rPr>
          <w:rStyle w:val="normaltextrun"/>
          <w:rFonts w:ascii="Calibri" w:hAnsi="Calibri" w:cs="Segoe UI"/>
          <w:sz w:val="22"/>
          <w:szCs w:val="22"/>
        </w:rPr>
        <w:t xml:space="preserve"> As t</w:t>
      </w:r>
      <w:r w:rsidR="00B625FF">
        <w:rPr>
          <w:rStyle w:val="eop"/>
          <w:rFonts w:ascii="Calibri" w:eastAsia="MS Gothic" w:hAnsi="Calibri" w:cs="Segoe UI"/>
          <w:sz w:val="22"/>
          <w:szCs w:val="22"/>
        </w:rPr>
        <w:t xml:space="preserve">he local gyrokinetic KBM stability limit has been shown to agree very well with </w:t>
      </w:r>
      <w:r w:rsidR="00CE12A4">
        <w:rPr>
          <w:rStyle w:val="eop"/>
          <w:rFonts w:ascii="Calibri" w:eastAsia="MS Gothic" w:hAnsi="Calibri" w:cs="Segoe UI"/>
          <w:sz w:val="22"/>
          <w:szCs w:val="22"/>
        </w:rPr>
        <w:t xml:space="preserve">the </w:t>
      </w:r>
      <w:r w:rsidR="00B625FF">
        <w:rPr>
          <w:rStyle w:val="eop"/>
          <w:rFonts w:ascii="Calibri" w:eastAsia="MS Gothic" w:hAnsi="Calibri" w:cs="Segoe UI"/>
          <w:sz w:val="22"/>
          <w:szCs w:val="22"/>
        </w:rPr>
        <w:t>local ideal MHD n=∞ ballooning mode limit (which can be solved even faster than the local KBM limit)</w:t>
      </w:r>
      <w:r w:rsidR="00CE12A4">
        <w:rPr>
          <w:rStyle w:val="eop"/>
          <w:rFonts w:ascii="Calibri" w:eastAsia="MS Gothic" w:hAnsi="Calibri" w:cs="Segoe UI"/>
          <w:sz w:val="22"/>
          <w:szCs w:val="22"/>
        </w:rPr>
        <w:t xml:space="preserve"> [3]</w:t>
      </w:r>
      <w:r w:rsidR="00B625FF">
        <w:rPr>
          <w:rStyle w:val="eop"/>
          <w:rFonts w:ascii="Calibri" w:eastAsia="MS Gothic" w:hAnsi="Calibri" w:cs="Segoe UI"/>
          <w:sz w:val="22"/>
          <w:szCs w:val="22"/>
        </w:rPr>
        <w:t xml:space="preserve">, this allows very rapid determination of the global KBM limit. </w:t>
      </w:r>
    </w:p>
    <w:p w:rsidR="005F27D4" w:rsidRDefault="005F27D4" w:rsidP="00D323A7">
      <w:pPr>
        <w:pStyle w:val="paragraph"/>
        <w:spacing w:before="0" w:beforeAutospacing="0" w:after="0" w:afterAutospacing="0"/>
        <w:jc w:val="both"/>
        <w:textAlignment w:val="baseline"/>
        <w:rPr>
          <w:rStyle w:val="eop"/>
          <w:rFonts w:ascii="Calibri" w:eastAsia="MS Gothic" w:hAnsi="Calibri" w:cs="Segoe UI"/>
          <w:sz w:val="22"/>
          <w:szCs w:val="22"/>
        </w:rPr>
      </w:pPr>
    </w:p>
    <w:p w:rsidR="005F27D4" w:rsidRDefault="005F27D4" w:rsidP="005F27D4">
      <w:pPr>
        <w:pStyle w:val="paragraph"/>
        <w:spacing w:before="0" w:beforeAutospacing="0" w:after="0" w:afterAutospacing="0"/>
        <w:jc w:val="both"/>
        <w:textAlignment w:val="baseline"/>
        <w:rPr>
          <w:rStyle w:val="eop"/>
          <w:rFonts w:ascii="Calibri" w:eastAsia="MS Gothic" w:hAnsi="Calibri" w:cs="Segoe UI"/>
          <w:sz w:val="22"/>
          <w:szCs w:val="22"/>
        </w:rPr>
      </w:pPr>
      <w:r w:rsidRPr="005F27D4">
        <w:rPr>
          <w:rStyle w:val="eop"/>
          <w:rFonts w:eastAsia="MS Gothic" w:cs="Segoe UI"/>
        </w:rPr>
        <w:t>a)</w:t>
      </w:r>
      <w:r>
        <w:rPr>
          <w:rStyle w:val="eop"/>
          <w:rFonts w:ascii="Calibri" w:eastAsia="MS Gothic" w:hAnsi="Calibri" w:cs="Segoe UI"/>
          <w:sz w:val="22"/>
          <w:szCs w:val="22"/>
        </w:rPr>
        <w:t xml:space="preserve"> </w:t>
      </w:r>
      <w:r w:rsidRPr="005F27D4">
        <w:rPr>
          <w:rFonts w:ascii="Calibri" w:eastAsia="MS Gothic" w:hAnsi="Calibri" w:cs="Segoe UI"/>
          <w:noProof/>
          <w:sz w:val="22"/>
          <w:szCs w:val="22"/>
        </w:rPr>
        <w:drawing>
          <wp:inline distT="0" distB="0" distL="0" distR="0" wp14:anchorId="62473404" wp14:editId="60A356FE">
            <wp:extent cx="2139950" cy="1605859"/>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0817" cy="1606510"/>
                    </a:xfrm>
                    <a:prstGeom prst="rect">
                      <a:avLst/>
                    </a:prstGeom>
                  </pic:spPr>
                </pic:pic>
              </a:graphicData>
            </a:graphic>
          </wp:inline>
        </w:drawing>
      </w:r>
      <w:r>
        <w:rPr>
          <w:rStyle w:val="eop"/>
          <w:rFonts w:ascii="Calibri" w:eastAsia="MS Gothic" w:hAnsi="Calibri" w:cs="Segoe UI"/>
          <w:sz w:val="22"/>
          <w:szCs w:val="22"/>
        </w:rPr>
        <w:t>b)</w:t>
      </w:r>
      <w:r w:rsidRPr="005F27D4">
        <w:rPr>
          <w:rFonts w:ascii="Calibri" w:eastAsia="MS Gothic" w:hAnsi="Calibri" w:cs="Segoe UI"/>
          <w:noProof/>
          <w:sz w:val="22"/>
          <w:szCs w:val="22"/>
        </w:rPr>
        <w:drawing>
          <wp:inline distT="0" distB="0" distL="0" distR="0" wp14:anchorId="754D2A6F" wp14:editId="2C61CE33">
            <wp:extent cx="2161432" cy="16256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1671" cy="1625780"/>
                    </a:xfrm>
                    <a:prstGeom prst="rect">
                      <a:avLst/>
                    </a:prstGeom>
                  </pic:spPr>
                </pic:pic>
              </a:graphicData>
            </a:graphic>
          </wp:inline>
        </w:drawing>
      </w:r>
    </w:p>
    <w:p w:rsidR="005F27D4" w:rsidRPr="00450A11" w:rsidRDefault="005F27D4" w:rsidP="00D323A7">
      <w:pPr>
        <w:pStyle w:val="paragraph"/>
        <w:spacing w:before="0" w:beforeAutospacing="0" w:after="0" w:afterAutospacing="0"/>
        <w:jc w:val="both"/>
        <w:textAlignment w:val="baseline"/>
        <w:rPr>
          <w:rStyle w:val="eop"/>
          <w:rFonts w:ascii="Calibri" w:eastAsia="MS Gothic" w:hAnsi="Calibri" w:cs="Segoe UI"/>
          <w:i/>
          <w:sz w:val="22"/>
          <w:szCs w:val="22"/>
        </w:rPr>
      </w:pPr>
      <w:r w:rsidRPr="00450A11">
        <w:rPr>
          <w:rStyle w:val="eop"/>
          <w:rFonts w:ascii="Calibri" w:eastAsia="MS Gothic" w:hAnsi="Calibri" w:cs="Segoe UI"/>
          <w:b/>
          <w:i/>
          <w:sz w:val="22"/>
          <w:szCs w:val="22"/>
        </w:rPr>
        <w:t>Figure 1</w:t>
      </w:r>
      <w:r w:rsidRPr="00450A11">
        <w:rPr>
          <w:rStyle w:val="eop"/>
          <w:rFonts w:ascii="Calibri" w:eastAsia="MS Gothic" w:hAnsi="Calibri" w:cs="Segoe UI"/>
          <w:i/>
          <w:sz w:val="22"/>
          <w:szCs w:val="22"/>
        </w:rPr>
        <w:t>. The local</w:t>
      </w:r>
      <w:r w:rsidR="00092AF6" w:rsidRPr="00450A11">
        <w:rPr>
          <w:rStyle w:val="eop"/>
          <w:rFonts w:ascii="Calibri" w:eastAsia="MS Gothic" w:hAnsi="Calibri" w:cs="Segoe UI"/>
          <w:i/>
          <w:sz w:val="22"/>
          <w:szCs w:val="22"/>
        </w:rPr>
        <w:t xml:space="preserve"> KBM growth rate at the maximum pressure gradient location</w:t>
      </w:r>
      <w:r w:rsidRPr="00450A11">
        <w:rPr>
          <w:rStyle w:val="eop"/>
          <w:rFonts w:ascii="Calibri" w:eastAsia="MS Gothic" w:hAnsi="Calibri" w:cs="Segoe UI"/>
          <w:i/>
          <w:sz w:val="22"/>
          <w:szCs w:val="22"/>
        </w:rPr>
        <w:t xml:space="preserve"> (a) and global </w:t>
      </w:r>
      <w:r w:rsidR="00092AF6" w:rsidRPr="00450A11">
        <w:rPr>
          <w:rStyle w:val="eop"/>
          <w:rFonts w:ascii="Calibri" w:eastAsia="MS Gothic" w:hAnsi="Calibri" w:cs="Segoe UI"/>
          <w:i/>
          <w:sz w:val="22"/>
          <w:szCs w:val="22"/>
        </w:rPr>
        <w:t xml:space="preserve">KBM growth rate </w:t>
      </w:r>
      <w:r w:rsidRPr="00450A11">
        <w:rPr>
          <w:rStyle w:val="eop"/>
          <w:rFonts w:ascii="Calibri" w:eastAsia="MS Gothic" w:hAnsi="Calibri" w:cs="Segoe UI"/>
          <w:i/>
          <w:sz w:val="22"/>
          <w:szCs w:val="22"/>
        </w:rPr>
        <w:t xml:space="preserve">(b) for MAST-like equilibrium in a </w:t>
      </w:r>
      <w:r w:rsidRPr="00450A11">
        <w:rPr>
          <w:rStyle w:val="eop"/>
          <w:rFonts w:ascii="Symbol" w:eastAsia="MS Gothic" w:hAnsi="Symbol" w:cs="Segoe UI"/>
          <w:i/>
          <w:sz w:val="22"/>
          <w:szCs w:val="22"/>
        </w:rPr>
        <w:t></w:t>
      </w:r>
      <w:r w:rsidRPr="00450A11">
        <w:rPr>
          <w:rStyle w:val="eop"/>
          <w:rFonts w:ascii="Calibri" w:eastAsia="MS Gothic" w:hAnsi="Calibri" w:cs="Segoe UI"/>
          <w:i/>
          <w:sz w:val="22"/>
          <w:szCs w:val="22"/>
        </w:rPr>
        <w:t xml:space="preserve">-scan for an equilibrium with and without bootstrap current. Also the n=∞ ballooning mode limit for the equilibrium without bootstrap current is shown. </w:t>
      </w:r>
    </w:p>
    <w:p w:rsidR="005F27D4" w:rsidRDefault="005F27D4" w:rsidP="00D323A7">
      <w:pPr>
        <w:pStyle w:val="paragraph"/>
        <w:spacing w:before="0" w:beforeAutospacing="0" w:after="0" w:afterAutospacing="0"/>
        <w:jc w:val="both"/>
        <w:textAlignment w:val="baseline"/>
        <w:rPr>
          <w:rStyle w:val="eop"/>
          <w:rFonts w:ascii="Calibri" w:eastAsia="MS Gothic" w:hAnsi="Calibri" w:cs="Segoe UI"/>
          <w:sz w:val="22"/>
          <w:szCs w:val="22"/>
        </w:rPr>
      </w:pPr>
    </w:p>
    <w:p w:rsidR="001E314B" w:rsidRDefault="006611B6" w:rsidP="00D323A7">
      <w:pPr>
        <w:pStyle w:val="paragraph"/>
        <w:spacing w:before="0" w:beforeAutospacing="0" w:after="0" w:afterAutospacing="0"/>
        <w:jc w:val="both"/>
        <w:textAlignment w:val="baseline"/>
        <w:rPr>
          <w:rStyle w:val="normaltextrun"/>
          <w:rFonts w:ascii="Calibri" w:eastAsia="MS Gothic" w:hAnsi="Calibri" w:cs="Segoe UI"/>
          <w:sz w:val="22"/>
          <w:szCs w:val="22"/>
        </w:rPr>
      </w:pPr>
      <w:r>
        <w:rPr>
          <w:rStyle w:val="eop"/>
          <w:rFonts w:ascii="Calibri" w:eastAsia="MS Gothic" w:hAnsi="Calibri" w:cs="Segoe UI"/>
          <w:sz w:val="22"/>
          <w:szCs w:val="22"/>
        </w:rPr>
        <w:t xml:space="preserve">In Europed, the KBM </w:t>
      </w:r>
      <w:r w:rsidR="00092AF6">
        <w:rPr>
          <w:rStyle w:val="eop"/>
          <w:rFonts w:ascii="Calibri" w:eastAsia="MS Gothic" w:hAnsi="Calibri" w:cs="Segoe UI"/>
          <w:sz w:val="22"/>
          <w:szCs w:val="22"/>
        </w:rPr>
        <w:t xml:space="preserve">limit for pressure pedestal height </w:t>
      </w:r>
      <w:r>
        <w:rPr>
          <w:rStyle w:val="eop"/>
          <w:rFonts w:ascii="Calibri" w:eastAsia="MS Gothic" w:hAnsi="Calibri" w:cs="Segoe UI"/>
          <w:sz w:val="22"/>
          <w:szCs w:val="22"/>
        </w:rPr>
        <w:t xml:space="preserve">for a given pedestal width is determined in the following way: </w:t>
      </w:r>
      <w:r w:rsidR="00574989">
        <w:rPr>
          <w:rStyle w:val="eop"/>
          <w:rFonts w:ascii="Calibri" w:eastAsia="MS Gothic" w:hAnsi="Calibri" w:cs="Segoe UI"/>
          <w:sz w:val="22"/>
          <w:szCs w:val="22"/>
        </w:rPr>
        <w:t xml:space="preserve">First the bootstrap current </w:t>
      </w:r>
      <w:r w:rsidR="00CE12A4">
        <w:rPr>
          <w:rStyle w:val="eop"/>
          <w:rFonts w:ascii="Calibri" w:eastAsia="MS Gothic" w:hAnsi="Calibri" w:cs="Segoe UI"/>
          <w:sz w:val="22"/>
          <w:szCs w:val="22"/>
        </w:rPr>
        <w:t xml:space="preserve">is </w:t>
      </w:r>
      <w:r w:rsidR="00574989">
        <w:rPr>
          <w:rStyle w:val="eop"/>
          <w:rFonts w:ascii="Calibri" w:eastAsia="MS Gothic" w:hAnsi="Calibri" w:cs="Segoe UI"/>
          <w:sz w:val="22"/>
          <w:szCs w:val="22"/>
        </w:rPr>
        <w:t xml:space="preserve">set to zero in the equilibrium reconstruction. The pedestal height is varied until the fraction of the pedestal region that is above the n=∞ ballooning mode stability limit is equal to the value set in the input. This pedestal height is assumed to be consistent with being limited by the KBMs. The analysis is continued with the bootstrap current taken into account in the equilibrium reconstruction before the </w:t>
      </w:r>
      <w:r w:rsidR="00CE12A4">
        <w:rPr>
          <w:rStyle w:val="eop"/>
          <w:rFonts w:ascii="Calibri" w:eastAsia="MS Gothic" w:hAnsi="Calibri" w:cs="Segoe UI"/>
          <w:sz w:val="22"/>
          <w:szCs w:val="22"/>
        </w:rPr>
        <w:t>standard</w:t>
      </w:r>
      <w:r w:rsidR="00574989">
        <w:rPr>
          <w:rStyle w:val="eop"/>
          <w:rFonts w:ascii="Calibri" w:eastAsia="MS Gothic" w:hAnsi="Calibri" w:cs="Segoe UI"/>
          <w:sz w:val="22"/>
          <w:szCs w:val="22"/>
        </w:rPr>
        <w:t xml:space="preserve"> peeling-ballooning mode stability analysis. The method still needs an input parameter (the fraction of the pedestal above the KBM limit), but is now more physics based than the pure </w:t>
      </w:r>
      <m:oMath>
        <m:r>
          <w:rPr>
            <w:rStyle w:val="normaltextrun"/>
            <w:rFonts w:ascii="Cambria Math" w:hAnsi="Cambria Math" w:cs="Segoe UI"/>
            <w:sz w:val="22"/>
            <w:szCs w:val="22"/>
          </w:rPr>
          <m:t>∆∝</m:t>
        </m:r>
        <m:rad>
          <m:radPr>
            <m:degHide m:val="1"/>
            <m:ctrlPr>
              <w:rPr>
                <w:rStyle w:val="normaltextrun"/>
                <w:rFonts w:ascii="Cambria Math" w:hAnsi="Cambria Math" w:cs="Segoe UI"/>
                <w:i/>
                <w:sz w:val="22"/>
                <w:szCs w:val="22"/>
              </w:rPr>
            </m:ctrlPr>
          </m:radPr>
          <m:deg/>
          <m:e>
            <m:sSub>
              <m:sSubPr>
                <m:ctrlPr>
                  <w:rPr>
                    <w:rStyle w:val="normaltextrun"/>
                    <w:rFonts w:ascii="Cambria Math" w:hAnsi="Cambria Math" w:cs="Segoe UI"/>
                    <w:i/>
                    <w:sz w:val="22"/>
                    <w:szCs w:val="22"/>
                  </w:rPr>
                </m:ctrlPr>
              </m:sSubPr>
              <m:e>
                <m:r>
                  <w:rPr>
                    <w:rStyle w:val="normaltextrun"/>
                    <w:rFonts w:ascii="Cambria Math" w:hAnsi="Cambria Math" w:cs="Segoe UI"/>
                    <w:sz w:val="22"/>
                    <w:szCs w:val="22"/>
                  </w:rPr>
                  <m:t>β</m:t>
                </m:r>
              </m:e>
              <m:sub>
                <m:r>
                  <w:rPr>
                    <w:rStyle w:val="normaltextrun"/>
                    <w:rFonts w:ascii="Cambria Math" w:hAnsi="Cambria Math" w:cs="Segoe UI"/>
                    <w:sz w:val="22"/>
                    <w:szCs w:val="22"/>
                  </w:rPr>
                  <m:t>p,ped</m:t>
                </m:r>
              </m:sub>
            </m:sSub>
          </m:e>
        </m:rad>
      </m:oMath>
      <w:r w:rsidR="00574989">
        <w:rPr>
          <w:rStyle w:val="normaltextrun"/>
          <w:rFonts w:ascii="Calibri" w:eastAsia="MS Gothic" w:hAnsi="Calibri" w:cs="Segoe UI"/>
          <w:sz w:val="22"/>
          <w:szCs w:val="22"/>
        </w:rPr>
        <w:t xml:space="preserve"> dependency between the height and the width of the pedestal.</w:t>
      </w:r>
    </w:p>
    <w:p w:rsidR="00574989" w:rsidRDefault="00574989" w:rsidP="00D323A7">
      <w:pPr>
        <w:pStyle w:val="paragraph"/>
        <w:spacing w:before="0" w:beforeAutospacing="0" w:after="0" w:afterAutospacing="0"/>
        <w:jc w:val="both"/>
        <w:textAlignment w:val="baseline"/>
        <w:rPr>
          <w:rFonts w:ascii="Segoe UI" w:hAnsi="Segoe UI" w:cs="Segoe UI"/>
          <w:sz w:val="12"/>
          <w:szCs w:val="12"/>
        </w:rPr>
      </w:pPr>
    </w:p>
    <w:p w:rsidR="00975639" w:rsidRDefault="00092AF6" w:rsidP="00D323A7">
      <w:pPr>
        <w:jc w:val="both"/>
      </w:pPr>
      <w:r>
        <w:t>In addition to</w:t>
      </w:r>
      <w:r w:rsidR="00650656">
        <w:t xml:space="preserve"> global gyrokinetic analysis, a</w:t>
      </w:r>
      <w:r w:rsidR="00650656" w:rsidRPr="00650656">
        <w:t xml:space="preserve"> novel approach to capturing the global effects through combining multiple local simulations with higher order ballooning theory [</w:t>
      </w:r>
      <w:r w:rsidR="00CE12A4">
        <w:t>4</w:t>
      </w:r>
      <w:r w:rsidR="00905FF9">
        <w:t>,</w:t>
      </w:r>
      <w:r w:rsidR="00CE12A4">
        <w:t>5</w:t>
      </w:r>
      <w:r w:rsidR="00650656" w:rsidRPr="00650656">
        <w:t>]</w:t>
      </w:r>
      <w:r w:rsidR="00650656">
        <w:t xml:space="preserve"> w</w:t>
      </w:r>
      <w:r w:rsidR="00650656" w:rsidRPr="00650656">
        <w:t xml:space="preserve">as </w:t>
      </w:r>
      <w:r w:rsidR="00650656">
        <w:t>used to study pedestal KBM stability</w:t>
      </w:r>
      <w:r w:rsidR="00650656" w:rsidRPr="00650656">
        <w:t>. This approach provides advantageous numerical properties, offering a route to more routine and expansive global studies, whilst also providing a more direct connection to how the global effects modify the local behaviour. In this project we exploited this approach in order to investigate the global effects on the KBM in the JET pedestal</w:t>
      </w:r>
      <w:r w:rsidR="00D94F25">
        <w:t xml:space="preserve"> with suppressed bootstrap current</w:t>
      </w:r>
      <w:r w:rsidR="00650656" w:rsidRPr="00650656">
        <w:t>.</w:t>
      </w:r>
    </w:p>
    <w:p w:rsidR="00650656" w:rsidRDefault="00650656" w:rsidP="00D323A7">
      <w:pPr>
        <w:jc w:val="both"/>
      </w:pPr>
      <w:r>
        <w:t>The frequency and growth</w:t>
      </w:r>
      <w:r w:rsidR="005F27D4">
        <w:t xml:space="preserve"> rate spectrum is shown in fig 2</w:t>
      </w:r>
      <w:r>
        <w:t>a</w:t>
      </w:r>
      <w:r w:rsidR="001B4443">
        <w:t>)</w:t>
      </w:r>
      <w:r>
        <w:t xml:space="preserve"> for a surface near the top of the pedestal (</w:t>
      </w:r>
      <m:oMath>
        <m:sSub>
          <m:sSubPr>
            <m:ctrlPr>
              <w:rPr>
                <w:rFonts w:ascii="Cambria Math" w:hAnsi="Cambria Math"/>
              </w:rPr>
            </m:ctrlPr>
          </m:sSubPr>
          <m:e>
            <m:r>
              <w:rPr>
                <w:rFonts w:ascii="Cambria Math" w:hAnsi="Cambria Math"/>
              </w:rPr>
              <m:t>ψ</m:t>
            </m:r>
          </m:e>
          <m:sub>
            <m:r>
              <w:rPr>
                <w:rFonts w:ascii="Cambria Math" w:hAnsi="Cambria Math"/>
              </w:rPr>
              <m:t>N</m:t>
            </m:r>
          </m:sub>
        </m:sSub>
        <m:r>
          <w:rPr>
            <w:rFonts w:ascii="Cambria Math" w:hAnsi="Cambria Math"/>
          </w:rPr>
          <m:t>=0.88</m:t>
        </m:r>
      </m:oMath>
      <w:r>
        <w:t xml:space="preserve">). The KBM growth rate is found to peak at relatively low </w:t>
      </w:r>
      <m:oMath>
        <m:r>
          <w:rPr>
            <w:rFonts w:ascii="Cambria Math" w:hAnsi="Cambria Math"/>
          </w:rPr>
          <m:t>n</m:t>
        </m:r>
      </m:oMath>
      <w:r>
        <w:t xml:space="preserve">, indicating that global effects are likely to be significant. In order to reconstruct the global solution from the local simulations (obtained with GS2) we must first map out the local eigenfrequency, </w:t>
      </w:r>
      <m:oMath>
        <m:sSub>
          <m:sSubPr>
            <m:ctrlPr>
              <w:rPr>
                <w:rFonts w:ascii="Cambria Math" w:hAnsi="Cambria Math"/>
                <w:i/>
              </w:rPr>
            </m:ctrlPr>
          </m:sSubPr>
          <m:e>
            <m:r>
              <m:rPr>
                <m:sty m:val="p"/>
              </m:rPr>
              <w:rPr>
                <w:rFonts w:ascii="Cambria Math" w:hAnsi="Cambria Math"/>
              </w:rPr>
              <m:t>Ω</m:t>
            </m:r>
          </m:e>
          <m:sub>
            <m:r>
              <w:rPr>
                <w:rFonts w:ascii="Cambria Math" w:hAnsi="Cambria Math"/>
              </w:rPr>
              <m:t>0</m:t>
            </m:r>
          </m:sub>
        </m:sSub>
      </m:oMath>
      <w:r>
        <w:t xml:space="preserve">, as a function of radius, </w:t>
      </w:r>
      <m:oMath>
        <m:r>
          <w:rPr>
            <w:rFonts w:ascii="Cambria Math" w:hAnsi="Cambria Math"/>
          </w:rPr>
          <m:t>x</m:t>
        </m:r>
      </m:oMath>
      <w:r>
        <w:t xml:space="preserve">, and ballooning angle </w:t>
      </w:r>
      <m:oMath>
        <m:sSub>
          <m:sSubPr>
            <m:ctrlPr>
              <w:rPr>
                <w:rFonts w:ascii="Cambria Math" w:hAnsi="Cambria Math"/>
              </w:rPr>
            </m:ctrlPr>
          </m:sSubPr>
          <m:e>
            <m:r>
              <w:rPr>
                <w:rFonts w:ascii="Cambria Math" w:hAnsi="Cambria Math"/>
              </w:rPr>
              <m:t>θ</m:t>
            </m:r>
          </m:e>
          <m:sub>
            <m:r>
              <w:rPr>
                <w:rFonts w:ascii="Cambria Math" w:hAnsi="Cambria Math"/>
              </w:rPr>
              <m:t>0</m:t>
            </m:r>
          </m:sub>
        </m:sSub>
      </m:oMath>
      <w:r>
        <w:t xml:space="preserve">, whilst tracking a single eigenmode. In order to aid this analysis a new wrapper around the core GS2 library was developed which utilises GS2’s eigensolver to extract multiple eigenmodes at each </w:t>
      </w:r>
      <m:oMath>
        <m:r>
          <w:rPr>
            <w:rFonts w:ascii="Cambria Math" w:hAnsi="Cambria Math"/>
          </w:rPr>
          <m:t>(x,</m:t>
        </m:r>
        <m:sSub>
          <m:sSubPr>
            <m:ctrlPr>
              <w:rPr>
                <w:rFonts w:ascii="Cambria Math" w:hAnsi="Cambria Math"/>
              </w:rPr>
            </m:ctrlPr>
          </m:sSubPr>
          <m:e>
            <m:r>
              <w:rPr>
                <w:rFonts w:ascii="Cambria Math" w:hAnsi="Cambria Math"/>
              </w:rPr>
              <m:t>θ</m:t>
            </m:r>
          </m:e>
          <m:sub>
            <m:r>
              <w:rPr>
                <w:rFonts w:ascii="Cambria Math" w:hAnsi="Cambria Math"/>
              </w:rPr>
              <m:t>0</m:t>
            </m:r>
          </m:sub>
        </m:sSub>
        <m:r>
          <w:rPr>
            <w:rFonts w:ascii="Cambria Math" w:hAnsi="Cambria Math"/>
          </w:rPr>
          <m:t>)</m:t>
        </m:r>
      </m:oMath>
      <w:r>
        <w:t xml:space="preserve"> point. The result at each point is used as input to the next point in order to improve the ability to track an eigenmode branch as it becomes subdominant. The </w:t>
      </w:r>
      <w:r>
        <w:lastRenderedPageBreak/>
        <w:t>growth rate and frequency depend</w:t>
      </w:r>
      <w:r w:rsidR="005F27D4">
        <w:t>ence on radius is shown in fig 2</w:t>
      </w:r>
      <w:r>
        <w:t>b</w:t>
      </w:r>
      <w:r w:rsidR="001B4443">
        <w:t>)</w:t>
      </w:r>
      <w:r>
        <w:t>. It can be seen that whilst the growth rate has a roughly quadratic dependence the frequency is approximately linear. This is expected to lead to a global solution which peaks away from the outboard midplane [</w:t>
      </w:r>
      <w:r w:rsidR="00A01021">
        <w:t>4</w:t>
      </w:r>
      <w:r>
        <w:t xml:space="preserve">]. The growth rate and frequency dependence on </w:t>
      </w:r>
      <m:oMath>
        <m:sSub>
          <m:sSubPr>
            <m:ctrlPr>
              <w:rPr>
                <w:rFonts w:ascii="Cambria Math" w:hAnsi="Cambria Math"/>
              </w:rPr>
            </m:ctrlPr>
          </m:sSubPr>
          <m:e>
            <m:r>
              <w:rPr>
                <w:rFonts w:ascii="Cambria Math" w:hAnsi="Cambria Math"/>
              </w:rPr>
              <m:t>θ</m:t>
            </m:r>
          </m:e>
          <m:sub>
            <m:r>
              <w:rPr>
                <w:rFonts w:ascii="Cambria Math" w:hAnsi="Cambria Math"/>
              </w:rPr>
              <m:t>0</m:t>
            </m:r>
          </m:sub>
        </m:sSub>
      </m:oMath>
      <w:r>
        <w:t xml:space="preserve"> is shown in fig </w:t>
      </w:r>
      <w:r w:rsidR="005F27D4">
        <w:t>3</w:t>
      </w:r>
      <w:r w:rsidR="00DC373F">
        <w:t>a</w:t>
      </w:r>
      <w:r>
        <w:t xml:space="preserve"> for</w:t>
      </w:r>
      <w:r w:rsidR="00092AF6">
        <w:t xml:space="preserve"> </w:t>
      </w:r>
      <w:r w:rsidR="00DC373F">
        <w:t xml:space="preserve"> </w:t>
      </w:r>
      <m:oMath>
        <m:sSub>
          <m:sSubPr>
            <m:ctrlPr>
              <w:rPr>
                <w:rFonts w:ascii="Cambria Math" w:hAnsi="Cambria Math"/>
              </w:rPr>
            </m:ctrlPr>
          </m:sSubPr>
          <m:e>
            <m:r>
              <w:rPr>
                <w:rFonts w:ascii="Cambria Math" w:hAnsi="Cambria Math"/>
              </w:rPr>
              <m:t>ψ</m:t>
            </m:r>
          </m:e>
          <m:sub>
            <m:r>
              <w:rPr>
                <w:rFonts w:ascii="Cambria Math" w:hAnsi="Cambria Math"/>
              </w:rPr>
              <m:t>N</m:t>
            </m:r>
          </m:sub>
        </m:sSub>
        <m:r>
          <w:rPr>
            <w:rFonts w:ascii="Cambria Math" w:hAnsi="Cambria Math"/>
          </w:rPr>
          <m:t>=0.88</m:t>
        </m:r>
      </m:oMath>
      <w:r>
        <w:t>. It can be seen that both the frequency and growth rate are very strongly peaked about</w:t>
      </w:r>
      <w:r w:rsidR="00092AF6">
        <w:t xml:space="preserve"> </w:t>
      </w:r>
      <w:r>
        <w:t xml:space="preserve"> </w:t>
      </w:r>
      <m:oMath>
        <m:sSub>
          <m:sSubPr>
            <m:ctrlPr>
              <w:rPr>
                <w:rFonts w:ascii="Cambria Math" w:hAnsi="Cambria Math"/>
              </w:rPr>
            </m:ctrlPr>
          </m:sSubPr>
          <m:e>
            <m:r>
              <w:rPr>
                <w:rFonts w:ascii="Cambria Math" w:hAnsi="Cambria Math"/>
              </w:rPr>
              <m:t>θ</m:t>
            </m:r>
          </m:e>
          <m:sub>
            <m:r>
              <w:rPr>
                <w:rFonts w:ascii="Cambria Math" w:hAnsi="Cambria Math"/>
              </w:rPr>
              <m:t>0</m:t>
            </m:r>
          </m:sub>
        </m:sSub>
        <m:r>
          <w:rPr>
            <w:rFonts w:ascii="Cambria Math" w:hAnsi="Cambria Math"/>
          </w:rPr>
          <m:t>=0</m:t>
        </m:r>
      </m:oMath>
      <w:r>
        <w:t xml:space="preserve">. In deriving the lowest order local equation along with the higher order equation used to reconstruct the global solution a separation of scales is used in both </w:t>
      </w:r>
      <m:oMath>
        <m:r>
          <w:rPr>
            <w:rFonts w:ascii="Cambria Math" w:hAnsi="Cambria Math"/>
          </w:rPr>
          <m:t>x</m:t>
        </m:r>
      </m:oMath>
      <w:r>
        <w:t xml:space="preserve"> and </w:t>
      </w:r>
      <m:oMath>
        <m:sSub>
          <m:sSubPr>
            <m:ctrlPr>
              <w:rPr>
                <w:rFonts w:ascii="Cambria Math" w:hAnsi="Cambria Math"/>
              </w:rPr>
            </m:ctrlPr>
          </m:sSubPr>
          <m:e>
            <m:r>
              <w:rPr>
                <w:rFonts w:ascii="Cambria Math" w:hAnsi="Cambria Math"/>
              </w:rPr>
              <m:t>θ</m:t>
            </m:r>
          </m:e>
          <m:sub>
            <m:r>
              <w:rPr>
                <w:rFonts w:ascii="Cambria Math" w:hAnsi="Cambria Math"/>
              </w:rPr>
              <m:t>0</m:t>
            </m:r>
          </m:sub>
        </m:sSub>
      </m:oMath>
      <w:r>
        <w:t xml:space="preserve"> which requires that the local eigenfrequency,</w:t>
      </w:r>
      <m:oMath>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0</m:t>
            </m:r>
          </m:sub>
        </m:sSub>
      </m:oMath>
      <w:r>
        <w:t xml:space="preserve"> , is a slowly varying function of </w:t>
      </w:r>
      <m:oMath>
        <m:r>
          <w:rPr>
            <w:rFonts w:ascii="Cambria Math" w:hAnsi="Cambria Math"/>
          </w:rPr>
          <m:t>x</m:t>
        </m:r>
      </m:oMath>
      <w:r>
        <w:t xml:space="preserve"> and </w:t>
      </w:r>
      <m:oMath>
        <m:sSub>
          <m:sSubPr>
            <m:ctrlPr>
              <w:rPr>
                <w:rFonts w:ascii="Cambria Math" w:hAnsi="Cambria Math"/>
              </w:rPr>
            </m:ctrlPr>
          </m:sSubPr>
          <m:e>
            <m:r>
              <w:rPr>
                <w:rFonts w:ascii="Cambria Math" w:hAnsi="Cambria Math"/>
              </w:rPr>
              <m:t>θ</m:t>
            </m:r>
          </m:e>
          <m:sub>
            <m:r>
              <w:rPr>
                <w:rFonts w:ascii="Cambria Math" w:hAnsi="Cambria Math"/>
              </w:rPr>
              <m:t>0</m:t>
            </m:r>
          </m:sub>
        </m:sSub>
      </m:oMath>
      <w:r>
        <w:t xml:space="preserve">. The strong </w:t>
      </w:r>
      <m:oMath>
        <m:sSub>
          <m:sSubPr>
            <m:ctrlPr>
              <w:rPr>
                <w:rFonts w:ascii="Cambria Math" w:hAnsi="Cambria Math"/>
              </w:rPr>
            </m:ctrlPr>
          </m:sSubPr>
          <m:e>
            <m:r>
              <w:rPr>
                <w:rFonts w:ascii="Cambria Math" w:hAnsi="Cambria Math"/>
              </w:rPr>
              <m:t>θ</m:t>
            </m:r>
          </m:e>
          <m:sub>
            <m:r>
              <w:rPr>
                <w:rFonts w:ascii="Cambria Math" w:hAnsi="Cambria Math"/>
              </w:rPr>
              <m:t>0</m:t>
            </m:r>
          </m:sub>
        </m:sSub>
      </m:oMath>
      <w:r>
        <w:t xml:space="preserve"> depen</w:t>
      </w:r>
      <w:r w:rsidR="00DC373F">
        <w:t>denc</w:t>
      </w:r>
      <w:r w:rsidR="005F27D4">
        <w:t>y</w:t>
      </w:r>
      <w:r w:rsidR="00DC373F">
        <w:t xml:space="preserve"> shown in </w:t>
      </w:r>
      <w:r w:rsidR="00CE12A4">
        <w:t>F</w:t>
      </w:r>
      <w:r w:rsidR="00DC373F">
        <w:t>ig</w:t>
      </w:r>
      <w:r w:rsidR="00CE12A4">
        <w:t>.</w:t>
      </w:r>
      <w:r w:rsidR="00DC373F">
        <w:t> </w:t>
      </w:r>
      <w:r w:rsidR="005F27D4">
        <w:t>3</w:t>
      </w:r>
      <w:r w:rsidR="004346D6">
        <w:t>a</w:t>
      </w:r>
      <w:r>
        <w:t xml:space="preserve"> indicates that this assumption has been violated and as such the local </w:t>
      </w:r>
      <w:r w:rsidR="00BD67DA">
        <w:t>approach</w:t>
      </w:r>
      <w:r>
        <w:t xml:space="preserve"> and the subsequent reconstruction is not valid. Despite this, the solution to the higher order equation, </w:t>
      </w: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0</m:t>
                </m:r>
              </m:sub>
            </m:sSub>
          </m:e>
        </m:d>
      </m:oMath>
      <w:r w:rsidR="00DC373F">
        <w:t xml:space="preserve">, is shown in </w:t>
      </w:r>
      <w:r w:rsidR="00CE12A4">
        <w:t>F</w:t>
      </w:r>
      <w:r w:rsidR="00DC373F">
        <w:t>ig</w:t>
      </w:r>
      <w:r w:rsidR="00CE12A4">
        <w:t>.</w:t>
      </w:r>
      <w:r w:rsidR="00DC373F">
        <w:t> </w:t>
      </w:r>
      <w:r w:rsidR="004346D6">
        <w:t>3</w:t>
      </w:r>
      <w:r w:rsidR="00DC373F">
        <w:t>b</w:t>
      </w:r>
      <w:r>
        <w:t xml:space="preserve"> along with the global eigenmode for the three most unstable global solutions. Three unstable global solutions are found with growth rates somewhat smaller than the peak local growth rate. The amplitude envelope is not strongly peaked (due to the strong </w:t>
      </w:r>
      <m:oMath>
        <m:sSub>
          <m:sSubPr>
            <m:ctrlPr>
              <w:rPr>
                <w:rFonts w:ascii="Cambria Math" w:hAnsi="Cambria Math"/>
              </w:rPr>
            </m:ctrlPr>
          </m:sSubPr>
          <m:e>
            <m:r>
              <w:rPr>
                <w:rFonts w:ascii="Cambria Math" w:hAnsi="Cambria Math"/>
              </w:rPr>
              <m:t>θ</m:t>
            </m:r>
          </m:e>
          <m:sub>
            <m:r>
              <w:rPr>
                <w:rFonts w:ascii="Cambria Math" w:hAnsi="Cambria Math"/>
              </w:rPr>
              <m:t>0</m:t>
            </m:r>
          </m:sub>
        </m:sSub>
      </m:oMath>
      <w:r>
        <w:t xml:space="preserve"> dependence of</w:t>
      </w:r>
      <w:r w:rsidR="00DC373F">
        <w:t xml:space="preserve">  </w:t>
      </w:r>
      <m:oMath>
        <m:sSub>
          <m:sSubPr>
            <m:ctrlPr>
              <w:rPr>
                <w:rFonts w:ascii="Cambria Math" w:hAnsi="Cambria Math"/>
                <w:i/>
              </w:rPr>
            </m:ctrlPr>
          </m:sSubPr>
          <m:e>
            <m:r>
              <m:rPr>
                <m:sty m:val="p"/>
              </m:rPr>
              <w:rPr>
                <w:rFonts w:ascii="Cambria Math" w:hAnsi="Cambria Math"/>
              </w:rPr>
              <m:t>Ω</m:t>
            </m:r>
          </m:e>
          <m:sub>
            <m:r>
              <w:rPr>
                <w:rFonts w:ascii="Cambria Math" w:hAnsi="Cambria Math"/>
              </w:rPr>
              <m:t>0</m:t>
            </m:r>
          </m:sub>
        </m:sSub>
      </m:oMath>
      <w:r>
        <w:t xml:space="preserve">) but all three solutions demonstrate peaks away from </w:t>
      </w:r>
      <m:oMath>
        <m:sSub>
          <m:sSubPr>
            <m:ctrlPr>
              <w:rPr>
                <w:rFonts w:ascii="Cambria Math" w:hAnsi="Cambria Math"/>
              </w:rPr>
            </m:ctrlPr>
          </m:sSubPr>
          <m:e>
            <m:r>
              <w:rPr>
                <w:rFonts w:ascii="Cambria Math" w:hAnsi="Cambria Math"/>
              </w:rPr>
              <m:t>θ</m:t>
            </m:r>
          </m:e>
          <m:sub>
            <m:r>
              <w:rPr>
                <w:rFonts w:ascii="Cambria Math" w:hAnsi="Cambria Math"/>
              </w:rPr>
              <m:t>0</m:t>
            </m:r>
          </m:sub>
        </m:sSub>
        <m:r>
          <w:rPr>
            <w:rFonts w:ascii="Cambria Math" w:hAnsi="Cambria Math"/>
          </w:rPr>
          <m:t>=0</m:t>
        </m:r>
      </m:oMath>
      <w:r>
        <w:t>, which suggests the global mode would peak towards the top or bottom of the plasma.</w:t>
      </w:r>
    </w:p>
    <w:p w:rsidR="00650656" w:rsidRDefault="00DC373F" w:rsidP="00D323A7">
      <w:pPr>
        <w:jc w:val="both"/>
      </w:pPr>
      <w:r>
        <w:t>a)</w:t>
      </w:r>
      <w:r>
        <w:rPr>
          <w:noProof/>
        </w:rPr>
        <w:drawing>
          <wp:inline distT="0" distB="0" distL="0" distR="0" wp14:anchorId="386CAADF" wp14:editId="3BE3FD69">
            <wp:extent cx="2190750" cy="1790700"/>
            <wp:effectExtent l="0" t="0" r="0" b="0"/>
            <wp:docPr id="1" name="Picture" descr="fig:"/>
            <wp:cNvGraphicFramePr/>
            <a:graphic xmlns:a="http://schemas.openxmlformats.org/drawingml/2006/main">
              <a:graphicData uri="http://schemas.openxmlformats.org/drawingml/2006/picture">
                <pic:pic xmlns:pic="http://schemas.openxmlformats.org/drawingml/2006/picture">
                  <pic:nvPicPr>
                    <pic:cNvPr id="0" name="Picture" descr="Figures/eigSpec.png"/>
                    <pic:cNvPicPr>
                      <a:picLocks noChangeAspect="1" noChangeArrowheads="1"/>
                    </pic:cNvPicPr>
                  </pic:nvPicPr>
                  <pic:blipFill>
                    <a:blip r:embed="rId8"/>
                    <a:stretch>
                      <a:fillRect/>
                    </a:stretch>
                  </pic:blipFill>
                  <pic:spPr bwMode="auto">
                    <a:xfrm>
                      <a:off x="0" y="0"/>
                      <a:ext cx="2191853" cy="1791602"/>
                    </a:xfrm>
                    <a:prstGeom prst="rect">
                      <a:avLst/>
                    </a:prstGeom>
                    <a:noFill/>
                    <a:ln w="9525">
                      <a:noFill/>
                      <a:headEnd/>
                      <a:tailEnd/>
                    </a:ln>
                  </pic:spPr>
                </pic:pic>
              </a:graphicData>
            </a:graphic>
          </wp:inline>
        </w:drawing>
      </w:r>
      <w:r>
        <w:t>b)</w:t>
      </w:r>
      <w:r>
        <w:rPr>
          <w:noProof/>
        </w:rPr>
        <w:drawing>
          <wp:inline distT="0" distB="0" distL="0" distR="0" wp14:anchorId="347D7B2A" wp14:editId="4CEAC1D0">
            <wp:extent cx="2178050" cy="1752600"/>
            <wp:effectExtent l="0" t="0" r="0" b="0"/>
            <wp:docPr id="2" name="Picture" descr="fig:"/>
            <wp:cNvGraphicFramePr/>
            <a:graphic xmlns:a="http://schemas.openxmlformats.org/drawingml/2006/main">
              <a:graphicData uri="http://schemas.openxmlformats.org/drawingml/2006/picture">
                <pic:pic xmlns:pic="http://schemas.openxmlformats.org/drawingml/2006/picture">
                  <pic:nvPicPr>
                    <pic:cNvPr id="0" name="Picture" descr="Figures/eigRadius.png"/>
                    <pic:cNvPicPr>
                      <a:picLocks noChangeAspect="1" noChangeArrowheads="1"/>
                    </pic:cNvPicPr>
                  </pic:nvPicPr>
                  <pic:blipFill>
                    <a:blip r:embed="rId9"/>
                    <a:stretch>
                      <a:fillRect/>
                    </a:stretch>
                  </pic:blipFill>
                  <pic:spPr bwMode="auto">
                    <a:xfrm>
                      <a:off x="0" y="0"/>
                      <a:ext cx="2179148" cy="1753484"/>
                    </a:xfrm>
                    <a:prstGeom prst="rect">
                      <a:avLst/>
                    </a:prstGeom>
                    <a:noFill/>
                    <a:ln w="9525">
                      <a:noFill/>
                      <a:headEnd/>
                      <a:tailEnd/>
                    </a:ln>
                  </pic:spPr>
                </pic:pic>
              </a:graphicData>
            </a:graphic>
          </wp:inline>
        </w:drawing>
      </w:r>
    </w:p>
    <w:p w:rsidR="00DC373F" w:rsidRPr="00450A11" w:rsidRDefault="00DC373F" w:rsidP="00D323A7">
      <w:pPr>
        <w:jc w:val="both"/>
        <w:rPr>
          <w:i/>
        </w:rPr>
      </w:pPr>
      <w:r w:rsidRPr="00450A11">
        <w:rPr>
          <w:b/>
          <w:i/>
        </w:rPr>
        <w:t xml:space="preserve">Figure </w:t>
      </w:r>
      <w:r w:rsidR="005F27D4" w:rsidRPr="00450A11">
        <w:rPr>
          <w:b/>
          <w:i/>
        </w:rPr>
        <w:t>2</w:t>
      </w:r>
      <w:r w:rsidRPr="00450A11">
        <w:rPr>
          <w:i/>
        </w:rPr>
        <w:t xml:space="preserve">. a) Local growth rate and frequency as a function of toroidal mode number for </w:t>
      </w:r>
      <w:r w:rsidRPr="00450A11">
        <w:rPr>
          <w:rFonts w:ascii="Symbol" w:hAnsi="Symbol"/>
          <w:i/>
        </w:rPr>
        <w:t></w:t>
      </w:r>
      <w:r w:rsidRPr="00450A11">
        <w:rPr>
          <w:i/>
          <w:vertAlign w:val="subscript"/>
        </w:rPr>
        <w:t>N</w:t>
      </w:r>
      <w:r w:rsidRPr="00450A11">
        <w:rPr>
          <w:i/>
        </w:rPr>
        <w:t xml:space="preserve"> = 0:88</w:t>
      </w:r>
      <w:r w:rsidR="00BD67DA" w:rsidRPr="00450A11">
        <w:rPr>
          <w:i/>
        </w:rPr>
        <w:t xml:space="preserve">, </w:t>
      </w:r>
      <w:r w:rsidR="00BD67DA" w:rsidRPr="00450A11">
        <w:rPr>
          <w:rFonts w:ascii="Symbol" w:hAnsi="Symbol"/>
          <w:i/>
        </w:rPr>
        <w:t></w:t>
      </w:r>
      <w:r w:rsidR="00BD67DA" w:rsidRPr="00450A11">
        <w:rPr>
          <w:i/>
          <w:vertAlign w:val="subscript"/>
        </w:rPr>
        <w:t>0</w:t>
      </w:r>
      <w:r w:rsidR="00BD67DA" w:rsidRPr="00450A11">
        <w:rPr>
          <w:i/>
        </w:rPr>
        <w:t>=0</w:t>
      </w:r>
      <w:r w:rsidRPr="00450A11">
        <w:rPr>
          <w:i/>
        </w:rPr>
        <w:t>. It can be seen that the growth rate peaks for n ≤ 20. b) Radial variation of the local growth rate and frequency for n = 20. The growth rate has a peak whilst the frequency varies linearly.</w:t>
      </w:r>
    </w:p>
    <w:p w:rsidR="00DC373F" w:rsidRDefault="00DC373F" w:rsidP="00D323A7">
      <w:pPr>
        <w:jc w:val="both"/>
      </w:pPr>
      <w:r>
        <w:t>a)</w:t>
      </w:r>
      <w:r>
        <w:rPr>
          <w:noProof/>
        </w:rPr>
        <w:drawing>
          <wp:inline distT="0" distB="0" distL="0" distR="0" wp14:anchorId="651A344F" wp14:editId="39559C2F">
            <wp:extent cx="2533650" cy="1841500"/>
            <wp:effectExtent l="0" t="0" r="0" b="6350"/>
            <wp:docPr id="3" name="Picture" descr="fig:"/>
            <wp:cNvGraphicFramePr/>
            <a:graphic xmlns:a="http://schemas.openxmlformats.org/drawingml/2006/main">
              <a:graphicData uri="http://schemas.openxmlformats.org/drawingml/2006/picture">
                <pic:pic xmlns:pic="http://schemas.openxmlformats.org/drawingml/2006/picture">
                  <pic:nvPicPr>
                    <pic:cNvPr id="0" name="Picture" descr="Figures/eigTheta0.png"/>
                    <pic:cNvPicPr>
                      <a:picLocks noChangeAspect="1" noChangeArrowheads="1"/>
                    </pic:cNvPicPr>
                  </pic:nvPicPr>
                  <pic:blipFill>
                    <a:blip r:embed="rId10"/>
                    <a:stretch>
                      <a:fillRect/>
                    </a:stretch>
                  </pic:blipFill>
                  <pic:spPr bwMode="auto">
                    <a:xfrm>
                      <a:off x="0" y="0"/>
                      <a:ext cx="2534926" cy="1842428"/>
                    </a:xfrm>
                    <a:prstGeom prst="rect">
                      <a:avLst/>
                    </a:prstGeom>
                    <a:noFill/>
                    <a:ln w="9525">
                      <a:noFill/>
                      <a:headEnd/>
                      <a:tailEnd/>
                    </a:ln>
                  </pic:spPr>
                </pic:pic>
              </a:graphicData>
            </a:graphic>
          </wp:inline>
        </w:drawing>
      </w:r>
      <w:r>
        <w:t>b)</w:t>
      </w:r>
      <w:r>
        <w:rPr>
          <w:noProof/>
        </w:rPr>
        <w:drawing>
          <wp:inline distT="0" distB="0" distL="0" distR="0" wp14:anchorId="2455769E" wp14:editId="7DB44012">
            <wp:extent cx="2527300" cy="1847850"/>
            <wp:effectExtent l="0" t="0" r="6350" b="0"/>
            <wp:docPr id="4" name="Picture" descr="fig:"/>
            <wp:cNvGraphicFramePr/>
            <a:graphic xmlns:a="http://schemas.openxmlformats.org/drawingml/2006/main">
              <a:graphicData uri="http://schemas.openxmlformats.org/drawingml/2006/picture">
                <pic:pic xmlns:pic="http://schemas.openxmlformats.org/drawingml/2006/picture">
                  <pic:nvPicPr>
                    <pic:cNvPr id="0" name="Picture" descr="Figures/ampEnv.png"/>
                    <pic:cNvPicPr>
                      <a:picLocks noChangeAspect="1" noChangeArrowheads="1"/>
                    </pic:cNvPicPr>
                  </pic:nvPicPr>
                  <pic:blipFill>
                    <a:blip r:embed="rId11"/>
                    <a:stretch>
                      <a:fillRect/>
                    </a:stretch>
                  </pic:blipFill>
                  <pic:spPr bwMode="auto">
                    <a:xfrm>
                      <a:off x="0" y="0"/>
                      <a:ext cx="2528564" cy="1848774"/>
                    </a:xfrm>
                    <a:prstGeom prst="rect">
                      <a:avLst/>
                    </a:prstGeom>
                    <a:noFill/>
                    <a:ln w="9525">
                      <a:noFill/>
                      <a:headEnd/>
                      <a:tailEnd/>
                    </a:ln>
                  </pic:spPr>
                </pic:pic>
              </a:graphicData>
            </a:graphic>
          </wp:inline>
        </w:drawing>
      </w:r>
    </w:p>
    <w:p w:rsidR="00DC373F" w:rsidRPr="00450A11" w:rsidRDefault="00DC373F" w:rsidP="00D323A7">
      <w:pPr>
        <w:jc w:val="both"/>
        <w:rPr>
          <w:i/>
        </w:rPr>
      </w:pPr>
      <w:r w:rsidRPr="00450A11">
        <w:rPr>
          <w:b/>
          <w:i/>
        </w:rPr>
        <w:t xml:space="preserve">Figure </w:t>
      </w:r>
      <w:r w:rsidR="005F27D4" w:rsidRPr="00450A11">
        <w:rPr>
          <w:b/>
          <w:i/>
        </w:rPr>
        <w:t>3</w:t>
      </w:r>
      <w:r w:rsidRPr="00450A11">
        <w:rPr>
          <w:i/>
        </w:rPr>
        <w:t xml:space="preserve">. a) Dependence of the local growth rate and frequency on </w:t>
      </w:r>
      <w:r w:rsidRPr="00450A11">
        <w:rPr>
          <w:rFonts w:ascii="Symbol" w:hAnsi="Symbol"/>
          <w:i/>
        </w:rPr>
        <w:t></w:t>
      </w:r>
      <w:r w:rsidRPr="00450A11">
        <w:rPr>
          <w:i/>
          <w:vertAlign w:val="subscript"/>
        </w:rPr>
        <w:t>0</w:t>
      </w:r>
      <w:r w:rsidRPr="00450A11">
        <w:rPr>
          <w:i/>
        </w:rPr>
        <w:t xml:space="preserve"> for n = 20. Both quantities are strongly peaked about </w:t>
      </w:r>
      <w:r w:rsidRPr="00450A11">
        <w:rPr>
          <w:rFonts w:ascii="Symbol" w:hAnsi="Symbol"/>
          <w:i/>
        </w:rPr>
        <w:t></w:t>
      </w:r>
      <w:r w:rsidRPr="00450A11">
        <w:rPr>
          <w:i/>
          <w:vertAlign w:val="subscript"/>
        </w:rPr>
        <w:t>0</w:t>
      </w:r>
      <w:r w:rsidRPr="00450A11">
        <w:rPr>
          <w:i/>
        </w:rPr>
        <w:t xml:space="preserve"> = 0. b) Amplitude envelope, A(</w:t>
      </w:r>
      <w:r w:rsidRPr="00450A11">
        <w:rPr>
          <w:rFonts w:ascii="Symbol" w:hAnsi="Symbol"/>
          <w:i/>
        </w:rPr>
        <w:t></w:t>
      </w:r>
      <w:r w:rsidRPr="00450A11">
        <w:rPr>
          <w:i/>
          <w:vertAlign w:val="subscript"/>
        </w:rPr>
        <w:t>0</w:t>
      </w:r>
      <w:r w:rsidRPr="00450A11">
        <w:rPr>
          <w:i/>
        </w:rPr>
        <w:t xml:space="preserve">), from the higher order ballooning equation for the three most unstable global solutions. The envelope function weights the contribution from the local solutions used in reconstructing the global solution and should be localised in </w:t>
      </w:r>
      <w:r w:rsidRPr="00450A11">
        <w:rPr>
          <w:rFonts w:ascii="Symbol" w:hAnsi="Symbol"/>
          <w:i/>
        </w:rPr>
        <w:t></w:t>
      </w:r>
      <w:r w:rsidRPr="00450A11">
        <w:rPr>
          <w:i/>
          <w:vertAlign w:val="subscript"/>
        </w:rPr>
        <w:t>0</w:t>
      </w:r>
      <w:r w:rsidRPr="00450A11">
        <w:rPr>
          <w:i/>
        </w:rPr>
        <w:t xml:space="preserve"> for the local approximation to be valid.</w:t>
      </w:r>
    </w:p>
    <w:p w:rsidR="00DC373F" w:rsidRDefault="00DC373F" w:rsidP="00CE12A4">
      <w:pPr>
        <w:pStyle w:val="Heading2"/>
        <w:numPr>
          <w:ilvl w:val="0"/>
          <w:numId w:val="4"/>
        </w:numPr>
        <w:jc w:val="both"/>
      </w:pPr>
      <w:r>
        <w:lastRenderedPageBreak/>
        <w:t>Pedestal limiting instabilities between ELM crashes</w:t>
      </w:r>
      <w:r w:rsidR="00CE12A4">
        <w:t xml:space="preserve"> (deliverable 12)</w:t>
      </w:r>
    </w:p>
    <w:p w:rsidR="00DC373F" w:rsidRDefault="00BD67DA" w:rsidP="00D323A7">
      <w:pPr>
        <w:jc w:val="both"/>
      </w:pPr>
      <w:r>
        <w:t>T</w:t>
      </w:r>
      <w:r w:rsidR="00DC373F">
        <w:t>he main focus of this project has been to develop a model capable of predicting the pedestal structure imme</w:t>
      </w:r>
      <w:r w:rsidR="00CE12A4">
        <w:t>diately prior to the ELM crash. T</w:t>
      </w:r>
      <w:r>
        <w:t>o complete this task it will also be essential to understand and predict</w:t>
      </w:r>
      <w:r w:rsidR="00DC373F">
        <w:t xml:space="preserve"> the inter-ELM profile evolution. Alongside the sources of heat and particles the profile evolution will be determined by the turbulent transport arising from microinstabilities. Local gyrokinetic simulations of the MAST pedestal have found microtearing modes (MTMs) and KBMs in the shallow and steep gradient regions respectively [</w:t>
      </w:r>
      <w:r w:rsidR="00CE12A4">
        <w:t>6</w:t>
      </w:r>
      <w:r w:rsidR="00905FF9">
        <w:t>,</w:t>
      </w:r>
      <w:r w:rsidR="00CE12A4">
        <w:t>7</w:t>
      </w:r>
      <w:r w:rsidR="00DC373F">
        <w:t xml:space="preserve">], with more recent simulations also finding an unstable ETG in the shallow gradient </w:t>
      </w:r>
      <w:r w:rsidR="00A01021">
        <w:t xml:space="preserve">plateau </w:t>
      </w:r>
      <w:r w:rsidR="00DC373F">
        <w:t>region consistent with experimental observations [</w:t>
      </w:r>
      <w:r w:rsidR="00CE12A4">
        <w:t>8</w:t>
      </w:r>
      <w:r w:rsidR="00DC373F">
        <w:t xml:space="preserve">]. Previous simulations of the </w:t>
      </w:r>
      <w:r w:rsidR="00A01021">
        <w:t xml:space="preserve">plateau </w:t>
      </w:r>
      <w:r w:rsidR="00DC373F">
        <w:t xml:space="preserve">region of a JET pedestal found ITGs and sub-dominant MTMs </w:t>
      </w:r>
      <w:r w:rsidR="00A01021">
        <w:t xml:space="preserve">that peak well of the equatorial midplane </w:t>
      </w:r>
      <w:r w:rsidR="00DC373F">
        <w:t>[</w:t>
      </w:r>
      <w:r w:rsidR="00CE12A4">
        <w:t>3</w:t>
      </w:r>
      <w:r w:rsidR="00DC373F">
        <w:t xml:space="preserve">], whilst more recent simulations of the steep gradient region of JET pedestals </w:t>
      </w:r>
      <w:r w:rsidR="00CE12A4">
        <w:t xml:space="preserve">at very high D2 gas rates </w:t>
      </w:r>
      <w:r w:rsidR="00DC373F">
        <w:t>has found both MTM and ITG-like instabilitie</w:t>
      </w:r>
      <w:r w:rsidR="00905FF9">
        <w:t>s [</w:t>
      </w:r>
      <w:r w:rsidR="00A01021">
        <w:t>9</w:t>
      </w:r>
      <w:r w:rsidR="00DC373F">
        <w:t>]. It is clear that there can be a wide range of microinstabilities that can be found in and around the pedestal. Whilst different classes of instability would be expected to lead to different transport characteristics, there are some common characteristics expected to be seen in the majority of pedestals. For example, the pedestal is often seen to expand through the inter-ELM period and as such there must be a transition from the instability in the shallow gradient region to the one in the steep gradient region as the profiles evolve. In order to better understand this transition and the behaviour of different microinstabilities as the equilibrium evolves it is helpful to explore the microinstability behaviour in a simplified system.</w:t>
      </w:r>
    </w:p>
    <w:p w:rsidR="008208E6" w:rsidRDefault="00DC373F" w:rsidP="00D323A7">
      <w:pPr>
        <w:jc w:val="both"/>
      </w:pPr>
      <w:r>
        <w:t xml:space="preserve">The growth rate and frequency for the standard cyclone base case is shown in </w:t>
      </w:r>
      <w:r w:rsidR="00905FF9">
        <w:t>F</w:t>
      </w:r>
      <w:r>
        <w:t>ig</w:t>
      </w:r>
      <w:r w:rsidR="00905FF9">
        <w:t>.</w:t>
      </w:r>
      <w:r>
        <w:t> </w:t>
      </w:r>
      <w:r w:rsidR="008208E6">
        <w:t>4</w:t>
      </w:r>
      <w:r>
        <w:t xml:space="preserve"> as a function of </w:t>
      </w:r>
      <m:oMath>
        <m:r>
          <w:rPr>
            <w:rFonts w:ascii="Cambria Math" w:hAnsi="Cambria Math"/>
          </w:rPr>
          <m:t>β</m:t>
        </m:r>
      </m:oMath>
      <w:r>
        <w:t xml:space="preserve"> for both the dominant twisting parity and tearing parity instabilities. It can be seen that above some critical </w:t>
      </w:r>
      <m:oMath>
        <m:r>
          <w:rPr>
            <w:rFonts w:ascii="Cambria Math" w:hAnsi="Cambria Math"/>
          </w:rPr>
          <m:t>β</m:t>
        </m:r>
      </m:oMath>
      <w:r>
        <w:t xml:space="preserve"> the growth rate of the twisting parity mode increases rapidly, corresponding to the onset of the KBM. Interestingly we also find two different tearing parity instabilities which can be unstable; at intermediate </w:t>
      </w:r>
      <m:oMath>
        <m:r>
          <w:rPr>
            <w:rFonts w:ascii="Cambria Math" w:hAnsi="Cambria Math"/>
          </w:rPr>
          <m:t>β</m:t>
        </m:r>
      </m:oMath>
      <w:r>
        <w:t xml:space="preserve"> we find a weakly unstable MTM-like instability whilst at higher </w:t>
      </w:r>
      <m:oMath>
        <m:r>
          <w:rPr>
            <w:rFonts w:ascii="Cambria Math" w:hAnsi="Cambria Math"/>
          </w:rPr>
          <m:t>β</m:t>
        </m:r>
      </m:oMath>
      <w:r>
        <w:t xml:space="preserve"> we find a tearing parity KBM-like mode. Whilst this system is somewhat removed from a realistic pedestal equilibrium it can still be used to demonstrate some relevant instab</w:t>
      </w:r>
      <w:r w:rsidR="00CE12A4">
        <w:t>ility properties, f</w:t>
      </w:r>
      <w:r w:rsidR="00905FF9">
        <w:t xml:space="preserve">or example </w:t>
      </w:r>
      <w:r w:rsidR="00194EDA">
        <w:t xml:space="preserve">in </w:t>
      </w:r>
      <w:r>
        <w:t xml:space="preserve">the same study as in </w:t>
      </w:r>
      <w:r w:rsidR="00905FF9">
        <w:t>F</w:t>
      </w:r>
      <w:r>
        <w:t>ig</w:t>
      </w:r>
      <w:r w:rsidR="00905FF9">
        <w:t>.</w:t>
      </w:r>
      <w:r>
        <w:t> </w:t>
      </w:r>
      <w:r w:rsidR="008208E6">
        <w:t>4</w:t>
      </w:r>
      <w:r w:rsidR="00CE12A4">
        <w:t>,</w:t>
      </w:r>
      <w:r>
        <w:t xml:space="preserve"> but for the case where the density and temperature length scales have been swapped</w:t>
      </w:r>
      <w:r w:rsidR="00194EDA">
        <w:t xml:space="preserve"> (originally R/L</w:t>
      </w:r>
      <w:r w:rsidR="00194EDA" w:rsidRPr="00194EDA">
        <w:rPr>
          <w:vertAlign w:val="subscript"/>
        </w:rPr>
        <w:t>T</w:t>
      </w:r>
      <w:r w:rsidR="00194EDA">
        <w:t>= 6.92 and R/L</w:t>
      </w:r>
      <w:r w:rsidR="00194EDA" w:rsidRPr="00194EDA">
        <w:rPr>
          <w:vertAlign w:val="subscript"/>
        </w:rPr>
        <w:t>n</w:t>
      </w:r>
      <w:r w:rsidR="00194EDA">
        <w:t>=2.22)</w:t>
      </w:r>
      <w:r>
        <w:t>. This keeps a constant pressure length scale, a</w:t>
      </w:r>
      <w:r w:rsidR="008208E6">
        <w:t xml:space="preserve">nd </w:t>
      </w:r>
      <w:r w:rsidR="00194EDA">
        <w:t xml:space="preserve">also </w:t>
      </w:r>
      <w:r>
        <w:t xml:space="preserve">the KBM properties are approximately the same. However, the non-KBM-like instabilities are strongly </w:t>
      </w:r>
      <w:r w:rsidR="00194EDA">
        <w:t xml:space="preserve">stabilised </w:t>
      </w:r>
      <w:r>
        <w:t xml:space="preserve">by this change. This highlights that the KBM may potentially impose a restriction on the pedestal pressure gradient but not </w:t>
      </w:r>
      <w:r w:rsidR="00CE12A4">
        <w:t xml:space="preserve">on </w:t>
      </w:r>
      <w:r>
        <w:t>the temperature and density gradients separately.</w:t>
      </w:r>
    </w:p>
    <w:p w:rsidR="008208E6" w:rsidRDefault="008208E6" w:rsidP="00D323A7">
      <w:pPr>
        <w:jc w:val="both"/>
      </w:pPr>
      <w:r>
        <w:t>a)</w:t>
      </w:r>
      <w:r>
        <w:rPr>
          <w:noProof/>
        </w:rPr>
        <w:drawing>
          <wp:inline distT="0" distB="0" distL="0" distR="0" wp14:anchorId="60D26418" wp14:editId="0256D865">
            <wp:extent cx="2044700" cy="1536700"/>
            <wp:effectExtent l="0" t="0" r="0" b="6350"/>
            <wp:docPr id="5" name="Picture" descr="fig:"/>
            <wp:cNvGraphicFramePr/>
            <a:graphic xmlns:a="http://schemas.openxmlformats.org/drawingml/2006/main">
              <a:graphicData uri="http://schemas.openxmlformats.org/drawingml/2006/picture">
                <pic:pic xmlns:pic="http://schemas.openxmlformats.org/drawingml/2006/picture">
                  <pic:nvPicPr>
                    <pic:cNvPr id="0" name="Picture" descr="Figures/cbc_betaScan_gamma.png"/>
                    <pic:cNvPicPr>
                      <a:picLocks noChangeAspect="1" noChangeArrowheads="1"/>
                    </pic:cNvPicPr>
                  </pic:nvPicPr>
                  <pic:blipFill>
                    <a:blip r:embed="rId12"/>
                    <a:stretch>
                      <a:fillRect/>
                    </a:stretch>
                  </pic:blipFill>
                  <pic:spPr bwMode="auto">
                    <a:xfrm>
                      <a:off x="0" y="0"/>
                      <a:ext cx="2045730" cy="1537474"/>
                    </a:xfrm>
                    <a:prstGeom prst="rect">
                      <a:avLst/>
                    </a:prstGeom>
                    <a:noFill/>
                    <a:ln w="9525">
                      <a:noFill/>
                      <a:headEnd/>
                      <a:tailEnd/>
                    </a:ln>
                  </pic:spPr>
                </pic:pic>
              </a:graphicData>
            </a:graphic>
          </wp:inline>
        </w:drawing>
      </w:r>
      <w:r>
        <w:t>b)</w:t>
      </w:r>
      <w:r>
        <w:rPr>
          <w:noProof/>
        </w:rPr>
        <w:drawing>
          <wp:inline distT="0" distB="0" distL="0" distR="0" wp14:anchorId="216AA490" wp14:editId="1337FB90">
            <wp:extent cx="1854200" cy="1543050"/>
            <wp:effectExtent l="0" t="0" r="0" b="0"/>
            <wp:docPr id="14" name="Picture" descr="fig:"/>
            <wp:cNvGraphicFramePr/>
            <a:graphic xmlns:a="http://schemas.openxmlformats.org/drawingml/2006/main">
              <a:graphicData uri="http://schemas.openxmlformats.org/drawingml/2006/picture">
                <pic:pic xmlns:pic="http://schemas.openxmlformats.org/drawingml/2006/picture">
                  <pic:nvPicPr>
                    <pic:cNvPr id="0" name="Picture" descr="Figures/cbc_betaScan_omega.png"/>
                    <pic:cNvPicPr>
                      <a:picLocks noChangeAspect="1" noChangeArrowheads="1"/>
                    </pic:cNvPicPr>
                  </pic:nvPicPr>
                  <pic:blipFill>
                    <a:blip r:embed="rId13"/>
                    <a:stretch>
                      <a:fillRect/>
                    </a:stretch>
                  </pic:blipFill>
                  <pic:spPr bwMode="auto">
                    <a:xfrm>
                      <a:off x="0" y="0"/>
                      <a:ext cx="1855134" cy="1543827"/>
                    </a:xfrm>
                    <a:prstGeom prst="rect">
                      <a:avLst/>
                    </a:prstGeom>
                    <a:noFill/>
                    <a:ln w="9525">
                      <a:noFill/>
                      <a:headEnd/>
                      <a:tailEnd/>
                    </a:ln>
                  </pic:spPr>
                </pic:pic>
              </a:graphicData>
            </a:graphic>
          </wp:inline>
        </w:drawing>
      </w:r>
    </w:p>
    <w:p w:rsidR="008208E6" w:rsidRPr="00450A11" w:rsidRDefault="008208E6" w:rsidP="008208E6">
      <w:pPr>
        <w:jc w:val="both"/>
        <w:rPr>
          <w:i/>
        </w:rPr>
      </w:pPr>
      <w:r w:rsidRPr="00450A11">
        <w:rPr>
          <w:b/>
          <w:i/>
        </w:rPr>
        <w:t>Figure 4</w:t>
      </w:r>
      <w:r w:rsidRPr="00450A11">
        <w:rPr>
          <w:i/>
        </w:rPr>
        <w:t xml:space="preserve">. The (a) growth rate and (b) frequency of the dominant twisting and tearing parity instabilities in the cyclone base case as a function of </w:t>
      </w:r>
      <w:r w:rsidRPr="00450A11">
        <w:rPr>
          <w:rFonts w:ascii="Symbol" w:hAnsi="Symbol"/>
          <w:i/>
        </w:rPr>
        <w:t></w:t>
      </w:r>
      <w:r w:rsidRPr="00450A11">
        <w:rPr>
          <w:i/>
        </w:rPr>
        <w:t>.</w:t>
      </w:r>
    </w:p>
    <w:p w:rsidR="00D94F25" w:rsidRDefault="00D94F25" w:rsidP="00D94F25">
      <w:r>
        <w:lastRenderedPageBreak/>
        <w:t xml:space="preserve">Whilst the tearing parity KBM-like instability is somewhat less unstable than the usual twisting parity KBM in the cyclone base case this is not true as we start to modify the equilibrium. We find that whilst the twisting parity KBM becomes weaker at large inverse aspect ratio </w:t>
      </w:r>
      <w:r w:rsidRPr="008208E6">
        <w:rPr>
          <w:rFonts w:ascii="Symbol" w:hAnsi="Symbol"/>
        </w:rPr>
        <w:t></w:t>
      </w:r>
      <w:r>
        <w:t xml:space="preserve">, the tearing-parity KBM-like instability actually becomes more unstable, such that for the largest </w:t>
      </w:r>
      <m:oMath>
        <m:r>
          <w:rPr>
            <w:rFonts w:ascii="Cambria Math" w:hAnsi="Cambria Math"/>
          </w:rPr>
          <m:t>ε</m:t>
        </m:r>
      </m:oMath>
      <w:r>
        <w:t xml:space="preserve"> investigated the growth rates of the tearing and twisting parity modes at large </w:t>
      </w:r>
      <m:oMath>
        <m:r>
          <w:rPr>
            <w:rFonts w:ascii="Cambria Math" w:hAnsi="Cambria Math"/>
          </w:rPr>
          <m:t>β</m:t>
        </m:r>
      </m:oMath>
      <w:r>
        <w:t xml:space="preserve"> are close.</w:t>
      </w:r>
    </w:p>
    <w:p w:rsidR="00DC373F" w:rsidRDefault="00D323A7" w:rsidP="00E61FF3">
      <w:pPr>
        <w:pStyle w:val="Heading2"/>
        <w:numPr>
          <w:ilvl w:val="0"/>
          <w:numId w:val="4"/>
        </w:numPr>
        <w:jc w:val="both"/>
      </w:pPr>
      <w:r>
        <w:t>Pedestal density prediction</w:t>
      </w:r>
      <w:r w:rsidR="00F00107">
        <w:t xml:space="preserve"> (deliverable 14)</w:t>
      </w:r>
    </w:p>
    <w:p w:rsidR="00D323A7" w:rsidRDefault="00D323A7" w:rsidP="00D323A7">
      <w:pPr>
        <w:jc w:val="both"/>
      </w:pPr>
      <w:r>
        <w:t xml:space="preserve">In the EPED1 model the pedestal density </w:t>
      </w:r>
      <w:r w:rsidR="00CE12A4">
        <w:t>n</w:t>
      </w:r>
      <w:r w:rsidR="00CE12A4" w:rsidRPr="00CE12A4">
        <w:rPr>
          <w:vertAlign w:val="subscript"/>
        </w:rPr>
        <w:t>e,ped</w:t>
      </w:r>
      <w:r w:rsidR="00CE12A4">
        <w:t xml:space="preserve"> </w:t>
      </w:r>
      <w:r>
        <w:t xml:space="preserve">is given as an input and </w:t>
      </w:r>
      <w:r w:rsidR="00C82DB3">
        <w:t xml:space="preserve">not </w:t>
      </w:r>
      <w:r>
        <w:t>predicted along with the temperature. In this project we included two methods to predict</w:t>
      </w:r>
      <w:r w:rsidR="00CE12A4">
        <w:t xml:space="preserve"> n</w:t>
      </w:r>
      <w:r w:rsidR="00CE12A4" w:rsidRPr="00CE12A4">
        <w:rPr>
          <w:vertAlign w:val="subscript"/>
        </w:rPr>
        <w:t>e,ped</w:t>
      </w:r>
      <w:r w:rsidR="002C7B62">
        <w:t xml:space="preserve">. The first is based on a database study for JET from which a parameterisation was derived </w:t>
      </w:r>
      <w:r>
        <w:t>by Urano [</w:t>
      </w:r>
      <w:r w:rsidR="00A01021">
        <w:t>10</w:t>
      </w:r>
      <w:r w:rsidR="002C7B62">
        <w:t>]</w:t>
      </w:r>
      <w:r>
        <w:t xml:space="preserve">. While this is not based on first principle physics model, but on a fit to experimental data, in practice it can be very useful when predicting JET experiments. Naturally, as only JET data was used, the model is only applicable </w:t>
      </w:r>
      <w:r w:rsidR="00E61FF3">
        <w:t>to</w:t>
      </w:r>
      <w:r>
        <w:t xml:space="preserve"> JET predictions</w:t>
      </w:r>
      <w:r w:rsidR="00E61FF3">
        <w:t>. The parameterisation gives</w:t>
      </w:r>
      <w:r>
        <w:t xml:space="preserve"> </w:t>
      </w:r>
      <w:r w:rsidR="00E61FF3">
        <w:t>n</w:t>
      </w:r>
      <w:r w:rsidR="00E61FF3" w:rsidRPr="00CE12A4">
        <w:rPr>
          <w:vertAlign w:val="subscript"/>
        </w:rPr>
        <w:t>e,ped</w:t>
      </w:r>
      <w:r w:rsidR="00E61FF3">
        <w:t xml:space="preserve"> </w:t>
      </w:r>
      <w:r>
        <w:t>as a function of plasma current I</w:t>
      </w:r>
      <w:r w:rsidRPr="00367BD4">
        <w:rPr>
          <w:vertAlign w:val="subscript"/>
        </w:rPr>
        <w:t>p</w:t>
      </w:r>
      <w:r>
        <w:t xml:space="preserve"> (in MA), toroidal magnetic field B</w:t>
      </w:r>
      <w:r w:rsidRPr="00367BD4">
        <w:rPr>
          <w:vertAlign w:val="subscript"/>
        </w:rPr>
        <w:t>t</w:t>
      </w:r>
      <w:r>
        <w:t xml:space="preserve"> (in T), triangularity </w:t>
      </w:r>
      <w:r w:rsidRPr="00367BD4">
        <w:rPr>
          <w:rFonts w:ascii="Symbol" w:hAnsi="Symbol"/>
        </w:rPr>
        <w:t></w:t>
      </w:r>
      <w:r>
        <w:t>, NBI heating power P</w:t>
      </w:r>
      <w:r w:rsidRPr="00367BD4">
        <w:rPr>
          <w:vertAlign w:val="subscript"/>
        </w:rPr>
        <w:t>NBI</w:t>
      </w:r>
      <w:r>
        <w:t xml:space="preserve"> (in MW) and gas puffing rate </w:t>
      </w:r>
      <w:r w:rsidRPr="00367BD4">
        <w:rPr>
          <w:rFonts w:ascii="Symbol" w:hAnsi="Symbol"/>
        </w:rPr>
        <w:t></w:t>
      </w:r>
      <w:r w:rsidRPr="00367BD4">
        <w:rPr>
          <w:vertAlign w:val="subscript"/>
        </w:rPr>
        <w:t>e</w:t>
      </w:r>
      <w:r>
        <w:t xml:space="preserve"> (in 10</w:t>
      </w:r>
      <w:r w:rsidRPr="00367BD4">
        <w:rPr>
          <w:vertAlign w:val="superscript"/>
        </w:rPr>
        <w:t>22</w:t>
      </w:r>
      <w:r>
        <w:t xml:space="preserve"> e/s) in the form:</w:t>
      </w:r>
    </w:p>
    <w:p w:rsidR="00D323A7" w:rsidRDefault="003F6D9C" w:rsidP="00D323A7">
      <w:pPr>
        <w:jc w:val="center"/>
      </w:pPr>
      <m:oMath>
        <m:sSub>
          <m:sSubPr>
            <m:ctrlPr>
              <w:rPr>
                <w:rFonts w:ascii="Cambria Math" w:hAnsi="Cambria Math"/>
                <w:i/>
              </w:rPr>
            </m:ctrlPr>
          </m:sSubPr>
          <m:e>
            <m:r>
              <w:rPr>
                <w:rFonts w:ascii="Cambria Math" w:hAnsi="Cambria Math"/>
              </w:rPr>
              <m:t>n</m:t>
            </m:r>
          </m:e>
          <m:sub>
            <m:r>
              <w:rPr>
                <w:rFonts w:ascii="Cambria Math" w:hAnsi="Cambria Math"/>
              </w:rPr>
              <m:t>e,ped</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19</m:t>
            </m:r>
          </m:sup>
        </m:sSup>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 xml:space="preserve">]=11.4 </m:t>
        </m:r>
        <m:sSubSup>
          <m:sSubSupPr>
            <m:ctrlPr>
              <w:rPr>
                <w:rFonts w:ascii="Cambria Math" w:hAnsi="Cambria Math"/>
                <w:i/>
              </w:rPr>
            </m:ctrlPr>
          </m:sSubSupPr>
          <m:e>
            <m:r>
              <w:rPr>
                <w:rFonts w:ascii="Cambria Math" w:hAnsi="Cambria Math"/>
              </w:rPr>
              <m:t>I</m:t>
            </m:r>
          </m:e>
          <m:sub>
            <m:r>
              <w:rPr>
                <w:rFonts w:ascii="Cambria Math" w:hAnsi="Cambria Math"/>
              </w:rPr>
              <m:t>p</m:t>
            </m:r>
          </m:sub>
          <m:sup>
            <m:r>
              <w:rPr>
                <w:rFonts w:ascii="Cambria Math" w:hAnsi="Cambria Math"/>
              </w:rPr>
              <m:t>1.38</m:t>
            </m:r>
          </m:sup>
        </m:sSubSup>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-0.42</m:t>
            </m:r>
          </m:sup>
        </m:sSubSup>
        <m:sSup>
          <m:sSupPr>
            <m:ctrlPr>
              <w:rPr>
                <w:rFonts w:ascii="Cambria Math" w:hAnsi="Cambria Math"/>
                <w:i/>
              </w:rPr>
            </m:ctrlPr>
          </m:sSupPr>
          <m:e>
            <m:r>
              <w:rPr>
                <w:rFonts w:ascii="Cambria Math" w:hAnsi="Cambria Math"/>
              </w:rPr>
              <m:t>δ</m:t>
            </m:r>
          </m:e>
          <m:sup>
            <m:r>
              <w:rPr>
                <w:rFonts w:ascii="Cambria Math" w:hAnsi="Cambria Math"/>
              </w:rPr>
              <m:t>0.71</m:t>
            </m:r>
          </m:sup>
        </m:sSup>
        <m:sSubSup>
          <m:sSubSupPr>
            <m:ctrlPr>
              <w:rPr>
                <w:rFonts w:ascii="Cambria Math" w:hAnsi="Cambria Math"/>
                <w:i/>
              </w:rPr>
            </m:ctrlPr>
          </m:sSubSupPr>
          <m:e>
            <m:r>
              <w:rPr>
                <w:rFonts w:ascii="Cambria Math" w:hAnsi="Cambria Math"/>
              </w:rPr>
              <m:t>P</m:t>
            </m:r>
          </m:e>
          <m:sub>
            <m:r>
              <w:rPr>
                <w:rFonts w:ascii="Cambria Math" w:hAnsi="Cambria Math"/>
              </w:rPr>
              <m:t>NBI</m:t>
            </m:r>
          </m:sub>
          <m:sup>
            <m:r>
              <w:rPr>
                <w:rFonts w:ascii="Cambria Math" w:hAnsi="Cambria Math"/>
              </w:rPr>
              <m:t>-0.25</m:t>
            </m:r>
          </m:sup>
        </m:sSubSup>
        <m:sSubSup>
          <m:sSubSupPr>
            <m:ctrlPr>
              <w:rPr>
                <w:rFonts w:ascii="Cambria Math" w:hAnsi="Cambria Math"/>
                <w:i/>
              </w:rPr>
            </m:ctrlPr>
          </m:sSubSupPr>
          <m:e>
            <m:r>
              <w:rPr>
                <w:rFonts w:ascii="Cambria Math" w:hAnsi="Cambria Math"/>
              </w:rPr>
              <m:t>ϕ</m:t>
            </m:r>
          </m:e>
          <m:sub>
            <m:r>
              <w:rPr>
                <w:rFonts w:ascii="Cambria Math" w:hAnsi="Cambria Math"/>
              </w:rPr>
              <m:t>e</m:t>
            </m:r>
          </m:sub>
          <m:sup>
            <m:r>
              <w:rPr>
                <w:rFonts w:ascii="Cambria Math" w:hAnsi="Cambria Math"/>
              </w:rPr>
              <m:t>0.11</m:t>
            </m:r>
          </m:sup>
        </m:sSubSup>
      </m:oMath>
      <w:r w:rsidR="00655D80">
        <w:t xml:space="preserve"> </w:t>
      </w:r>
      <w:r w:rsidR="00655D80">
        <w:tab/>
      </w:r>
      <w:r w:rsidR="00655D80">
        <w:tab/>
      </w:r>
      <w:r w:rsidR="00655D80">
        <w:tab/>
        <w:t>(1)</w:t>
      </w:r>
    </w:p>
    <w:p w:rsidR="00E61FF3" w:rsidRDefault="00E61FF3" w:rsidP="00E61FF3">
      <w:pPr>
        <w:jc w:val="both"/>
      </w:pPr>
      <w:r>
        <w:t>(a)</w:t>
      </w:r>
      <w:r>
        <w:rPr>
          <w:noProof/>
        </w:rPr>
        <w:drawing>
          <wp:inline distT="0" distB="0" distL="0" distR="0" wp14:anchorId="6CBFE764" wp14:editId="191CEBCE">
            <wp:extent cx="1674102" cy="17399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4632" cy="1740451"/>
                    </a:xfrm>
                    <a:prstGeom prst="rect">
                      <a:avLst/>
                    </a:prstGeom>
                    <a:noFill/>
                    <a:ln>
                      <a:noFill/>
                    </a:ln>
                  </pic:spPr>
                </pic:pic>
              </a:graphicData>
            </a:graphic>
          </wp:inline>
        </w:drawing>
      </w:r>
      <w:r>
        <w:t xml:space="preserve">   (b)</w:t>
      </w:r>
      <w:r>
        <w:rPr>
          <w:noProof/>
        </w:rPr>
        <w:drawing>
          <wp:inline distT="0" distB="0" distL="0" distR="0" wp14:anchorId="058EF6B6" wp14:editId="589B526C">
            <wp:extent cx="1668314" cy="17361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598" cy="1745781"/>
                    </a:xfrm>
                    <a:prstGeom prst="rect">
                      <a:avLst/>
                    </a:prstGeom>
                    <a:noFill/>
                    <a:ln>
                      <a:noFill/>
                    </a:ln>
                  </pic:spPr>
                </pic:pic>
              </a:graphicData>
            </a:graphic>
          </wp:inline>
        </w:drawing>
      </w:r>
      <w:r>
        <w:t xml:space="preserve">   (c)</w:t>
      </w:r>
      <w:r>
        <w:rPr>
          <w:noProof/>
        </w:rPr>
        <w:drawing>
          <wp:inline distT="0" distB="0" distL="0" distR="0" wp14:anchorId="59B5DCD0" wp14:editId="30E500C3">
            <wp:extent cx="1628405"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4359" cy="1739889"/>
                    </a:xfrm>
                    <a:prstGeom prst="rect">
                      <a:avLst/>
                    </a:prstGeom>
                    <a:noFill/>
                    <a:ln>
                      <a:noFill/>
                    </a:ln>
                  </pic:spPr>
                </pic:pic>
              </a:graphicData>
            </a:graphic>
          </wp:inline>
        </w:drawing>
      </w:r>
    </w:p>
    <w:p w:rsidR="00E61FF3" w:rsidRPr="00450A11" w:rsidRDefault="00E61FF3" w:rsidP="00E61FF3">
      <w:pPr>
        <w:jc w:val="both"/>
        <w:rPr>
          <w:i/>
        </w:rPr>
      </w:pPr>
      <w:r w:rsidRPr="00450A11">
        <w:rPr>
          <w:b/>
          <w:i/>
        </w:rPr>
        <w:t>Figure 5</w:t>
      </w:r>
      <w:r w:rsidRPr="00450A11">
        <w:rPr>
          <w:i/>
        </w:rPr>
        <w:t>. Predicted pedestal density plotted against experimental pedestal density using three different prediction methods. (a) Neutral penetration model with a flux expansion parameter E = 7, (b) neutral penetration model with a flux expansion parameter</w:t>
      </w:r>
      <m:oMath>
        <m:r>
          <w:rPr>
            <w:rFonts w:ascii="Cambria Math" w:hAnsi="Cambria Math"/>
          </w:rPr>
          <m:t xml:space="preserve"> E=6.2</m:t>
        </m:r>
        <m:sSup>
          <m:sSupPr>
            <m:ctrlPr>
              <w:rPr>
                <w:rFonts w:ascii="Cambria Math" w:hAnsi="Cambria Math"/>
                <w:i/>
              </w:rPr>
            </m:ctrlPr>
          </m:sSupPr>
          <m:e>
            <m:r>
              <w:rPr>
                <w:rFonts w:ascii="Cambria Math" w:hAnsi="Cambria Math"/>
              </w:rPr>
              <m:t>Φ</m:t>
            </m:r>
          </m:e>
          <m:sup>
            <m:r>
              <w:rPr>
                <w:rFonts w:ascii="Cambria Math" w:hAnsi="Cambria Math"/>
              </w:rPr>
              <m:t>-0.13</m:t>
            </m:r>
          </m:sup>
        </m:sSup>
      </m:oMath>
      <w:r w:rsidRPr="00450A11">
        <w:rPr>
          <w:i/>
        </w:rPr>
        <w:t xml:space="preserve"> and (c) the parametrised density expression (Eq 1). The dashed line in each plot is a linear best fit to the data and all data points would be on the solid line if there were perfect agreement between prediction and experiment.</w:t>
      </w:r>
    </w:p>
    <w:p w:rsidR="00D323A7" w:rsidRDefault="00655D80" w:rsidP="00655D80">
      <w:pPr>
        <w:jc w:val="both"/>
      </w:pPr>
      <w:r>
        <w:t xml:space="preserve">The second method for pedestal density prediction is based on </w:t>
      </w:r>
      <w:r w:rsidR="00E61FF3">
        <w:t xml:space="preserve">the </w:t>
      </w:r>
      <w:r>
        <w:t>neutral penetration model described in [</w:t>
      </w:r>
      <w:r w:rsidR="00C82DB3">
        <w:t>11</w:t>
      </w:r>
      <w:r>
        <w:t>]. The model is based on the premise that neutral fuelling at the plasma edge and the processes which affect neutrals as they penetrate into the plasma determine the structure of the density pedestal. It assumes that there are no impurities in the plasma, that fuelling only occurs at the plasma edge and that the plasma temperature is constant across the pedestal region. The neutral penetration model extends this and predicts that the pedestal width is equal to the ionisation length of the incident neutrals, a hypothesis that provides the following expression for the pedestal density:</w:t>
      </w:r>
    </w:p>
    <w:p w:rsidR="00655D80" w:rsidRDefault="003F6D9C" w:rsidP="00655D80">
      <w:pPr>
        <w:jc w:val="center"/>
      </w:pPr>
      <m:oMath>
        <m:sSub>
          <m:sSubPr>
            <m:ctrlPr>
              <w:rPr>
                <w:rFonts w:ascii="Cambria Math" w:hAnsi="Cambria Math"/>
                <w:i/>
              </w:rPr>
            </m:ctrlPr>
          </m:sSubPr>
          <m:e>
            <m:r>
              <w:rPr>
                <w:rFonts w:ascii="Cambria Math" w:hAnsi="Cambria Math"/>
              </w:rPr>
              <m:t>n</m:t>
            </m:r>
          </m:e>
          <m:sub>
            <m:r>
              <w:rPr>
                <w:rFonts w:ascii="Cambria Math" w:hAnsi="Cambria Math"/>
              </w:rPr>
              <m:t>e,ped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n</m:t>
                </m:r>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ion</m:t>
                    </m:r>
                  </m:sub>
                </m:sSub>
                <m:sSub>
                  <m:sSubPr>
                    <m:ctrlPr>
                      <w:rPr>
                        <w:rFonts w:ascii="Cambria Math" w:hAnsi="Cambria Math"/>
                        <w:i/>
                      </w:rPr>
                    </m:ctrlPr>
                  </m:sSubPr>
                  <m:e>
                    <m:r>
                      <w:rPr>
                        <w:rFonts w:ascii="Cambria Math" w:hAnsi="Cambria Math"/>
                      </w:rPr>
                      <m:t>v</m:t>
                    </m:r>
                  </m:e>
                  <m:sub>
                    <m:r>
                      <w:rPr>
                        <w:rFonts w:ascii="Cambria Math" w:hAnsi="Cambria Math"/>
                      </w:rPr>
                      <m:t>e</m:t>
                    </m:r>
                  </m:sub>
                </m:sSub>
              </m:e>
            </m:d>
            <m:r>
              <w:rPr>
                <w:rFonts w:ascii="Cambria Math" w:hAnsi="Cambria Math"/>
              </w:rPr>
              <m:t>E</m:t>
            </m:r>
            <m:sSub>
              <m:sSubPr>
                <m:ctrlPr>
                  <w:rPr>
                    <w:rFonts w:ascii="Cambria Math" w:hAnsi="Cambria Math"/>
                    <w:i/>
                  </w:rPr>
                </m:ctrlPr>
              </m:sSubPr>
              <m:e>
                <m:r>
                  <m:rPr>
                    <m:sty m:val="p"/>
                  </m:rPr>
                  <w:rPr>
                    <w:rFonts w:ascii="Cambria Math" w:hAnsi="Cambria Math"/>
                  </w:rPr>
                  <m:t>Δ</m:t>
                </m:r>
              </m:e>
              <m:sub>
                <m:sSub>
                  <m:sSubPr>
                    <m:ctrlPr>
                      <w:rPr>
                        <w:rFonts w:ascii="Cambria Math" w:hAnsi="Cambria Math"/>
                        <w:i/>
                      </w:rPr>
                    </m:ctrlPr>
                  </m:sSubPr>
                  <m:e>
                    <m:r>
                      <w:rPr>
                        <w:rFonts w:ascii="Cambria Math" w:hAnsi="Cambria Math"/>
                      </w:rPr>
                      <m:t>n</m:t>
                    </m:r>
                  </m:e>
                  <m:sub>
                    <m:r>
                      <w:rPr>
                        <w:rFonts w:ascii="Cambria Math" w:hAnsi="Cambria Math"/>
                      </w:rPr>
                      <m:t>e</m:t>
                    </m:r>
                  </m:sub>
                </m:sSub>
              </m:sub>
            </m:sSub>
          </m:den>
        </m:f>
      </m:oMath>
      <w:r w:rsidR="00655D80">
        <w:t xml:space="preserve">, </w:t>
      </w:r>
      <w:r w:rsidR="00655D80">
        <w:tab/>
      </w:r>
      <w:r w:rsidR="00655D80">
        <w:tab/>
      </w:r>
      <w:r w:rsidR="00655D80">
        <w:tab/>
      </w:r>
      <w:r w:rsidR="00655D80">
        <w:tab/>
        <w:t>(2)</w:t>
      </w:r>
    </w:p>
    <w:p w:rsidR="00E61FF3" w:rsidRDefault="00655D80" w:rsidP="00655D80">
      <w:pPr>
        <w:jc w:val="both"/>
      </w:pPr>
      <w:r>
        <w:lastRenderedPageBreak/>
        <w:t>where &lt;</w:t>
      </w:r>
      <w:r w:rsidRPr="00655D80">
        <w:rPr>
          <w:rFonts w:ascii="Symbol" w:hAnsi="Symbol"/>
        </w:rPr>
        <w:t></w:t>
      </w:r>
      <w:r w:rsidRPr="00655D80">
        <w:rPr>
          <w:vertAlign w:val="subscript"/>
        </w:rPr>
        <w:t>ion</w:t>
      </w:r>
      <w:r w:rsidRPr="00655D80">
        <w:t>v</w:t>
      </w:r>
      <w:r w:rsidRPr="00655D80">
        <w:rPr>
          <w:vertAlign w:val="subscript"/>
        </w:rPr>
        <w:t>e</w:t>
      </w:r>
      <w:r>
        <w:t>&gt; is the effective rate coefficient for electron impact ionisation, E is the flux expansion parameter defined as the ratio of the distance between two flux surfaces at the poloidal angle of the neutral source and the poloidal angle of measurement and V</w:t>
      </w:r>
      <w:r w:rsidRPr="00655D80">
        <w:rPr>
          <w:vertAlign w:val="subscript"/>
        </w:rPr>
        <w:t>n</w:t>
      </w:r>
      <w:r>
        <w:t xml:space="preserve"> is the average radial velocity of neutrals and </w:t>
      </w:r>
      <w:r w:rsidRPr="00655D80">
        <w:rPr>
          <w:rFonts w:ascii="Symbol" w:hAnsi="Symbol"/>
        </w:rPr>
        <w:t></w:t>
      </w:r>
      <w:r w:rsidRPr="00655D80">
        <w:rPr>
          <w:vertAlign w:val="subscript"/>
        </w:rPr>
        <w:t>ne</w:t>
      </w:r>
      <w:r>
        <w:t xml:space="preserve"> is the pedestal density width</w:t>
      </w:r>
      <w:r w:rsidR="00C82DB3">
        <w:t xml:space="preserve"> (in m)</w:t>
      </w:r>
      <w:r>
        <w:t xml:space="preserve"> that is assumed to be the same as the pedestal temperature width. Since the radial velocity and the ionisation rate are dependent on the temperature, the pedestal density is solved self-consistently with the pedestal temperature</w:t>
      </w:r>
      <w:r w:rsidR="00D429C7">
        <w:t xml:space="preserve"> for a given pedestal width by </w:t>
      </w:r>
      <w:r>
        <w:t>iterating Eq. (2) and the condition that the pedestal pressure height is fixed for a given width (e.g. through the EPED1 condition</w:t>
      </w:r>
      <w:r w:rsidR="00510AD2">
        <w:t xml:space="preserve"> </w:t>
      </w:r>
      <m:oMath>
        <m:r>
          <m:rPr>
            <m:sty m:val="p"/>
          </m:rPr>
          <w:rPr>
            <w:rFonts w:ascii="Cambria Math" w:hAnsi="Cambria Math"/>
          </w:rPr>
          <m:t>Δ</m:t>
        </m:r>
        <m:r>
          <w:rPr>
            <w:rFonts w:ascii="Cambria Math" w:hAnsi="Cambria Math"/>
          </w:rPr>
          <m:t>=0.076</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β</m:t>
                </m:r>
              </m:e>
              <m:sub>
                <m:r>
                  <w:rPr>
                    <w:rFonts w:ascii="Cambria Math" w:hAnsi="Cambria Math"/>
                  </w:rPr>
                  <m:t>p,ped</m:t>
                </m:r>
              </m:sub>
            </m:sSub>
          </m:e>
        </m:rad>
      </m:oMath>
      <w:r w:rsidR="00D94F25">
        <w:t xml:space="preserve"> or the KBM limit described in the previous section</w:t>
      </w:r>
      <w:r w:rsidR="00510AD2">
        <w:t xml:space="preserve">). </w:t>
      </w:r>
    </w:p>
    <w:p w:rsidR="00510AD2" w:rsidRDefault="00510AD2" w:rsidP="00655D80">
      <w:pPr>
        <w:jc w:val="both"/>
      </w:pPr>
      <w:r>
        <w:t xml:space="preserve">The two methods were tested with a JET database using a fixed E=7 and E that depends </w:t>
      </w:r>
      <w:r w:rsidR="00D429C7">
        <w:t>on</w:t>
      </w:r>
      <w:r>
        <w:t xml:space="preserve"> the fuelling rate by relation </w:t>
      </w:r>
      <m:oMath>
        <m:r>
          <w:rPr>
            <w:rFonts w:ascii="Cambria Math" w:hAnsi="Cambria Math"/>
          </w:rPr>
          <m:t>E=6.2</m:t>
        </m:r>
        <m:sSup>
          <m:sSupPr>
            <m:ctrlPr>
              <w:rPr>
                <w:rFonts w:ascii="Cambria Math" w:hAnsi="Cambria Math"/>
              </w:rPr>
            </m:ctrlPr>
          </m:sSupPr>
          <m:e>
            <m:r>
              <m:rPr>
                <m:sty m:val="p"/>
              </m:rPr>
              <w:rPr>
                <w:rFonts w:ascii="Cambria Math" w:hAnsi="Cambria Math"/>
              </w:rPr>
              <m:t>Φ</m:t>
            </m:r>
          </m:e>
          <m:sup>
            <m:r>
              <w:rPr>
                <w:rFonts w:ascii="Cambria Math" w:hAnsi="Cambria Math"/>
              </w:rPr>
              <m:t>-0.13</m:t>
            </m:r>
          </m:sup>
        </m:sSup>
      </m:oMath>
      <w:r>
        <w:t xml:space="preserve"> </w:t>
      </w:r>
      <w:r w:rsidR="00365E37">
        <w:t>(</w:t>
      </w:r>
      <w:r w:rsidR="00365E37" w:rsidRPr="00365E37">
        <w:rPr>
          <w:rFonts w:ascii="Symbol" w:hAnsi="Symbol"/>
        </w:rPr>
        <w:t></w:t>
      </w:r>
      <w:r w:rsidR="00365E37">
        <w:t xml:space="preserve"> is the total gas puffing rate in 10</w:t>
      </w:r>
      <w:r w:rsidR="00365E37" w:rsidRPr="00365E37">
        <w:rPr>
          <w:vertAlign w:val="superscript"/>
        </w:rPr>
        <w:t>22</w:t>
      </w:r>
      <w:r w:rsidR="00365E37">
        <w:t xml:space="preserve"> e/s) </w:t>
      </w:r>
      <w:r>
        <w:t xml:space="preserve">and the results are shown in Fig. </w:t>
      </w:r>
      <w:r w:rsidR="00194EDA">
        <w:t>5</w:t>
      </w:r>
      <w:r>
        <w:t>.</w:t>
      </w:r>
      <w:r w:rsidR="00365E37">
        <w:t xml:space="preserve"> As expected the parameterised density model gives very good match with the </w:t>
      </w:r>
      <w:r w:rsidR="008208E6">
        <w:t>e</w:t>
      </w:r>
      <w:r w:rsidR="00365E37">
        <w:t>xperiment. The neutral penetration model with fixed E under</w:t>
      </w:r>
      <w:r w:rsidR="008208E6">
        <w:t>-</w:t>
      </w:r>
      <w:r w:rsidR="00365E37">
        <w:t xml:space="preserve">predicts the experiment at high density, but this is significantly improved by making E dependent on the fuelling rate. </w:t>
      </w:r>
    </w:p>
    <w:p w:rsidR="00E61FF3" w:rsidRDefault="00E61FF3" w:rsidP="00655D80">
      <w:pPr>
        <w:jc w:val="both"/>
      </w:pPr>
      <w:r>
        <w:t>While the models described above allow improved prediction as the need for prescribing n</w:t>
      </w:r>
      <w:r w:rsidRPr="00CE12A4">
        <w:rPr>
          <w:vertAlign w:val="subscript"/>
        </w:rPr>
        <w:t>e,ped</w:t>
      </w:r>
      <w:r>
        <w:t xml:space="preserve"> is relaxed, their accuracy will have to be improved in the future. We have identified that the future models will have to include the particle transport processes in the pedestal as well as take into account pellet fuelling.</w:t>
      </w:r>
    </w:p>
    <w:p w:rsidR="00365E37" w:rsidRDefault="00365E37" w:rsidP="00AE3248">
      <w:pPr>
        <w:pStyle w:val="Heading2"/>
        <w:numPr>
          <w:ilvl w:val="0"/>
          <w:numId w:val="4"/>
        </w:numPr>
      </w:pPr>
      <w:r>
        <w:t>Self-consistent core</w:t>
      </w:r>
      <w:r w:rsidR="008F7A74">
        <w:t>-pedestal</w:t>
      </w:r>
      <w:r>
        <w:t xml:space="preserve"> model</w:t>
      </w:r>
      <w:r w:rsidR="00AE3248">
        <w:t xml:space="preserve"> (deliverable 8)</w:t>
      </w:r>
    </w:p>
    <w:p w:rsidR="00365E37" w:rsidRDefault="00365E37" w:rsidP="00365E37">
      <w:r>
        <w:t xml:space="preserve">In the EPED model the core </w:t>
      </w:r>
      <w:r w:rsidRPr="00365E37">
        <w:rPr>
          <w:rFonts w:ascii="Symbol" w:hAnsi="Symbol"/>
        </w:rPr>
        <w:t></w:t>
      </w:r>
      <w:r>
        <w:t xml:space="preserve"> is given as an input. However, in most experiments the achieved total </w:t>
      </w:r>
      <w:r w:rsidRPr="00365E37">
        <w:rPr>
          <w:rFonts w:ascii="Symbol" w:hAnsi="Symbol"/>
        </w:rPr>
        <w:t></w:t>
      </w:r>
      <w:r>
        <w:t xml:space="preserve"> is not known in advance of the experiment. Furthermore, </w:t>
      </w:r>
      <w:r w:rsidR="00765487">
        <w:t xml:space="preserve">if the core transport is stiff, </w:t>
      </w:r>
      <w:r>
        <w:t xml:space="preserve">the core </w:t>
      </w:r>
      <w:r w:rsidRPr="00765487">
        <w:rPr>
          <w:rFonts w:ascii="Symbol" w:hAnsi="Symbol"/>
        </w:rPr>
        <w:t></w:t>
      </w:r>
      <w:r>
        <w:t xml:space="preserve"> depends on the pedestal </w:t>
      </w:r>
      <w:r w:rsidR="00765487">
        <w:t xml:space="preserve">height, which is the quantity that we are trying to predict. In this project we have used two methods to simultaneously solve the core and the pedestal in a self-consistent way, in which </w:t>
      </w:r>
      <w:r w:rsidR="00765487" w:rsidRPr="00765487">
        <w:rPr>
          <w:rFonts w:ascii="Symbol" w:hAnsi="Symbol"/>
        </w:rPr>
        <w:t></w:t>
      </w:r>
      <w:r w:rsidR="00765487">
        <w:t xml:space="preserve"> is not used as an input but instead the heating power is specified.</w:t>
      </w:r>
    </w:p>
    <w:p w:rsidR="00194EDA" w:rsidRDefault="00E61FF3" w:rsidP="00194EDA">
      <w:r>
        <w:t>a)</w:t>
      </w:r>
      <w:r w:rsidR="00194EDA">
        <w:rPr>
          <w:noProof/>
        </w:rPr>
        <w:drawing>
          <wp:inline distT="0" distB="0" distL="0" distR="0" wp14:anchorId="7C29B30A" wp14:editId="66C67706">
            <wp:extent cx="2669821" cy="2007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d_JETTO_vs_experiment_teped.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1011" cy="2008853"/>
                    </a:xfrm>
                    <a:prstGeom prst="rect">
                      <a:avLst/>
                    </a:prstGeom>
                  </pic:spPr>
                </pic:pic>
              </a:graphicData>
            </a:graphic>
          </wp:inline>
        </w:drawing>
      </w:r>
      <w:r w:rsidRPr="00E61FF3">
        <w:rPr>
          <w:noProof/>
        </w:rPr>
        <w:t xml:space="preserve"> </w:t>
      </w:r>
      <w:r>
        <w:rPr>
          <w:noProof/>
        </w:rPr>
        <w:t>b)</w:t>
      </w:r>
      <w:r>
        <w:rPr>
          <w:noProof/>
        </w:rPr>
        <w:drawing>
          <wp:inline distT="0" distB="0" distL="0" distR="0" wp14:anchorId="07CC7B8B" wp14:editId="4AAC2BE2">
            <wp:extent cx="2667318" cy="20060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d_sc_he_scan_paradens_teped.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4602" cy="2011552"/>
                    </a:xfrm>
                    <a:prstGeom prst="rect">
                      <a:avLst/>
                    </a:prstGeom>
                  </pic:spPr>
                </pic:pic>
              </a:graphicData>
            </a:graphic>
          </wp:inline>
        </w:drawing>
      </w:r>
    </w:p>
    <w:p w:rsidR="00194EDA" w:rsidRPr="00450A11" w:rsidRDefault="00194EDA" w:rsidP="00365E37">
      <w:pPr>
        <w:rPr>
          <w:i/>
        </w:rPr>
      </w:pPr>
      <w:r w:rsidRPr="00450A11">
        <w:rPr>
          <w:b/>
          <w:i/>
        </w:rPr>
        <w:t>Figure 6</w:t>
      </w:r>
      <w:r w:rsidRPr="00450A11">
        <w:rPr>
          <w:i/>
        </w:rPr>
        <w:t>. The self-consistent core-pedestal prediction of the pedestal temperature as a function of heating power (red) and the measured pedestal temperature in a JET power scan (blue)</w:t>
      </w:r>
      <w:r w:rsidR="00E61FF3" w:rsidRPr="00450A11">
        <w:rPr>
          <w:i/>
        </w:rPr>
        <w:t xml:space="preserve"> using the Europed-JETTO combined simulation (a) and </w:t>
      </w:r>
      <w:r w:rsidR="00AE3248" w:rsidRPr="00450A11">
        <w:rPr>
          <w:i/>
        </w:rPr>
        <w:t>a standalone Europed simulation including the density prediction with the parameterised density model (b)</w:t>
      </w:r>
      <w:r w:rsidRPr="00450A11">
        <w:rPr>
          <w:i/>
        </w:rPr>
        <w:t xml:space="preserve">. </w:t>
      </w:r>
    </w:p>
    <w:p w:rsidR="00765487" w:rsidRDefault="00765487" w:rsidP="00872ADD">
      <w:r>
        <w:t xml:space="preserve">In the first method </w:t>
      </w:r>
      <w:r w:rsidR="00A47FC9">
        <w:t>we use the JINTRAC code [</w:t>
      </w:r>
      <w:r w:rsidR="00C05833">
        <w:t>1</w:t>
      </w:r>
      <w:r w:rsidR="00C82DB3">
        <w:t>2</w:t>
      </w:r>
      <w:r w:rsidR="00A47FC9">
        <w:t>] to solve the core transport with the predicted pedestal info</w:t>
      </w:r>
      <w:r w:rsidR="00D429C7">
        <w:t xml:space="preserve">rmation </w:t>
      </w:r>
      <w:r w:rsidR="00AE3248">
        <w:t xml:space="preserve">as boundary condition </w:t>
      </w:r>
      <w:r w:rsidR="00D429C7">
        <w:t>and then iterate</w:t>
      </w:r>
      <w:r w:rsidR="00A47FC9">
        <w:t xml:space="preserve"> </w:t>
      </w:r>
      <w:r w:rsidR="00D429C7">
        <w:t xml:space="preserve">self-consistently between </w:t>
      </w:r>
      <w:r w:rsidR="00A47FC9">
        <w:t xml:space="preserve">Europed </w:t>
      </w:r>
      <w:r w:rsidR="00D429C7">
        <w:lastRenderedPageBreak/>
        <w:t>predict</w:t>
      </w:r>
      <w:r w:rsidR="001D6888">
        <w:t>ing the</w:t>
      </w:r>
      <w:r w:rsidR="00D429C7">
        <w:t xml:space="preserve"> </w:t>
      </w:r>
      <w:r w:rsidR="00A47FC9">
        <w:t xml:space="preserve">pedestal height </w:t>
      </w:r>
      <w:r w:rsidR="00D429C7">
        <w:t xml:space="preserve">and </w:t>
      </w:r>
      <w:r w:rsidR="00A47FC9">
        <w:t xml:space="preserve">JINTRAC </w:t>
      </w:r>
      <w:r w:rsidR="001D6888">
        <w:t xml:space="preserve">the </w:t>
      </w:r>
      <w:r w:rsidR="00A47FC9">
        <w:t xml:space="preserve">core profiles. This iteration converges relatively quickly and has been successful </w:t>
      </w:r>
      <w:r w:rsidR="001D6888">
        <w:t xml:space="preserve">in </w:t>
      </w:r>
      <w:r w:rsidR="00A47FC9">
        <w:t xml:space="preserve">modelling a heating power scan experiment in JET. The </w:t>
      </w:r>
      <w:r w:rsidR="001D6888">
        <w:t xml:space="preserve">self-consistently </w:t>
      </w:r>
      <w:r w:rsidR="00A47FC9">
        <w:t xml:space="preserve">predicted and </w:t>
      </w:r>
      <w:r w:rsidR="001D6888">
        <w:t xml:space="preserve">experimental </w:t>
      </w:r>
      <w:r w:rsidR="00A47FC9">
        <w:t xml:space="preserve">pedestal </w:t>
      </w:r>
      <w:r w:rsidR="001D6888">
        <w:t xml:space="preserve">temperatures </w:t>
      </w:r>
      <w:r w:rsidR="00A47FC9">
        <w:t xml:space="preserve">are shown in Fig. </w:t>
      </w:r>
      <w:r w:rsidR="00194EDA">
        <w:t>6</w:t>
      </w:r>
      <w:r w:rsidR="00AE3248">
        <w:t xml:space="preserve"> a)</w:t>
      </w:r>
      <w:r w:rsidR="00A47FC9">
        <w:t>.</w:t>
      </w:r>
      <w:r w:rsidR="0045359E">
        <w:t xml:space="preserve"> The experimental trend is captured by the Europed-JETTO self-consistent simulation. </w:t>
      </w:r>
      <w:r w:rsidR="00DB2839">
        <w:t xml:space="preserve">Europed can be run directly using the JINTRAC output, which allows automation of the iteration process. </w:t>
      </w:r>
    </w:p>
    <w:p w:rsidR="00765487" w:rsidRDefault="0045359E" w:rsidP="00365E37">
      <w:r>
        <w:t xml:space="preserve">The second </w:t>
      </w:r>
      <w:r w:rsidR="00A337D3">
        <w:t>method</w:t>
      </w:r>
      <w:r>
        <w:t xml:space="preserve"> </w:t>
      </w:r>
      <w:r w:rsidR="00A337D3">
        <w:t xml:space="preserve">for </w:t>
      </w:r>
      <w:r>
        <w:t xml:space="preserve">simultaneously is </w:t>
      </w:r>
      <w:r w:rsidR="00A337D3">
        <w:t xml:space="preserve">predict the core and the pedestal </w:t>
      </w:r>
      <w:r>
        <w:t xml:space="preserve">to use a simple core transport </w:t>
      </w:r>
      <w:r w:rsidR="00A337D3">
        <w:t xml:space="preserve">model </w:t>
      </w:r>
      <w:r>
        <w:t>described in [</w:t>
      </w:r>
      <w:r w:rsidR="00C05833">
        <w:t>1</w:t>
      </w:r>
      <w:r w:rsidR="00D429C7">
        <w:t>3</w:t>
      </w:r>
      <w:r>
        <w:t xml:space="preserve">]. In this </w:t>
      </w:r>
      <w:r w:rsidR="00A337D3">
        <w:t>model T</w:t>
      </w:r>
      <w:r w:rsidR="00A337D3" w:rsidRPr="00A337D3">
        <w:rPr>
          <w:vertAlign w:val="subscript"/>
        </w:rPr>
        <w:t>e,core</w:t>
      </w:r>
      <w:r w:rsidR="00A337D3">
        <w:t xml:space="preserve"> </w:t>
      </w:r>
      <w:r>
        <w:t xml:space="preserve">profile is described using the </w:t>
      </w:r>
      <w:r w:rsidR="00A337D3">
        <w:t xml:space="preserve">energy </w:t>
      </w:r>
      <w:r>
        <w:t xml:space="preserve">confinement </w:t>
      </w:r>
      <w:r w:rsidR="00A337D3">
        <w:t xml:space="preserve">time </w:t>
      </w:r>
      <w:r>
        <w:t xml:space="preserve">scaling IPB98y,2. The core temperature profile is scaled until the confinement time calculated by </w:t>
      </w:r>
      <m:oMath>
        <m:sSub>
          <m:sSubPr>
            <m:ctrlPr>
              <w:rPr>
                <w:rFonts w:ascii="Cambria Math" w:hAnsi="Cambria Math"/>
                <w:i/>
              </w:rPr>
            </m:ctrlPr>
          </m:sSubPr>
          <m:e>
            <m:r>
              <w:rPr>
                <w:rFonts w:ascii="Cambria Math" w:hAnsi="Cambria Math"/>
              </w:rPr>
              <m:t>τ</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P</m:t>
                </m:r>
              </m:e>
              <m:sub>
                <m:r>
                  <w:rPr>
                    <w:rFonts w:ascii="Cambria Math" w:hAnsi="Cambria Math"/>
                  </w:rPr>
                  <m:t>L</m:t>
                </m:r>
              </m:sub>
            </m:sSub>
          </m:den>
        </m:f>
      </m:oMath>
      <w:r>
        <w:t xml:space="preserve"> , where W is the plasma energy and P</w:t>
      </w:r>
      <w:r w:rsidRPr="0045359E">
        <w:rPr>
          <w:vertAlign w:val="subscript"/>
        </w:rPr>
        <w:t>L</w:t>
      </w:r>
      <w:r>
        <w:t xml:space="preserve"> is the heating power</w:t>
      </w:r>
      <w:r w:rsidR="00944446">
        <w:t>,</w:t>
      </w:r>
      <w:r>
        <w:t xml:space="preserve"> agree</w:t>
      </w:r>
      <w:r w:rsidR="00944446">
        <w:t>s</w:t>
      </w:r>
      <w:r>
        <w:t xml:space="preserve"> with the confinement time calculated from the scaling. </w:t>
      </w:r>
      <w:r w:rsidR="001D6888">
        <w:t xml:space="preserve">The diffusivity </w:t>
      </w:r>
      <w:r w:rsidR="001D6888" w:rsidRPr="001D6888">
        <w:rPr>
          <w:rFonts w:ascii="Symbol" w:hAnsi="Symbol"/>
        </w:rPr>
        <w:t></w:t>
      </w:r>
      <w:r w:rsidR="001D6888">
        <w:t xml:space="preserve"> profile that is used to calculate the core temperature profile shape is assumed to follow </w:t>
      </w:r>
      <m:oMath>
        <m:r>
          <w:rPr>
            <w:rFonts w:ascii="Cambria Math" w:hAnsi="Cambria Math"/>
          </w:rPr>
          <m:t>χ∝</m:t>
        </m:r>
        <m:sSup>
          <m:sSupPr>
            <m:ctrlPr>
              <w:rPr>
                <w:rFonts w:ascii="Cambria Math" w:hAnsi="Cambria Math"/>
                <w:i/>
              </w:rPr>
            </m:ctrlPr>
          </m:sSupPr>
          <m:e>
            <m:r>
              <w:rPr>
                <w:rFonts w:ascii="Cambria Math" w:hAnsi="Cambria Math"/>
              </w:rPr>
              <m:t>q</m:t>
            </m:r>
          </m:e>
          <m:sup>
            <m:r>
              <w:rPr>
                <w:rFonts w:ascii="Cambria Math" w:hAnsi="Cambria Math"/>
              </w:rPr>
              <m:t>2</m:t>
            </m:r>
          </m:sup>
        </m:sSup>
      </m:oMath>
      <w:r w:rsidR="001D6888">
        <w:t xml:space="preserve">, </w:t>
      </w:r>
      <w:r w:rsidR="005529C9">
        <w:t>and</w:t>
      </w:r>
      <w:r w:rsidR="001D6888">
        <w:t xml:space="preserve"> strongly increased </w:t>
      </w:r>
      <w:r w:rsidR="001D6888" w:rsidRPr="001D6888">
        <w:rPr>
          <w:rFonts w:ascii="Symbol" w:hAnsi="Symbol"/>
        </w:rPr>
        <w:t></w:t>
      </w:r>
      <w:r w:rsidR="001D6888">
        <w:t xml:space="preserve"> in the core </w:t>
      </w:r>
      <w:r w:rsidR="005529C9">
        <w:t xml:space="preserve">(q&lt;1) </w:t>
      </w:r>
      <w:r w:rsidR="001D6888">
        <w:t xml:space="preserve">to represent sawtoothing. </w:t>
      </w:r>
      <w:r>
        <w:t>This is a relatively fast method</w:t>
      </w:r>
      <w:r w:rsidR="00A337D3">
        <w:t>,</w:t>
      </w:r>
      <w:r>
        <w:t xml:space="preserve"> allowing </w:t>
      </w:r>
      <w:r w:rsidR="00A337D3">
        <w:t xml:space="preserve">for </w:t>
      </w:r>
      <w:r>
        <w:t xml:space="preserve">standalone self-consistent Europed simulations. </w:t>
      </w:r>
      <w:r w:rsidR="00472189">
        <w:t xml:space="preserve">We have used this method along with the parameterised density prediction for the same JET power scan as </w:t>
      </w:r>
      <w:r w:rsidR="00AE3248">
        <w:t>was done in the Europed-JETTO run</w:t>
      </w:r>
      <w:r w:rsidR="00472189">
        <w:t xml:space="preserve">. The resulting temperature prediction is shown in Fig. </w:t>
      </w:r>
      <w:r w:rsidR="00AE3248">
        <w:t>6 b)</w:t>
      </w:r>
      <w:r w:rsidR="00472189">
        <w:t xml:space="preserve">. While there is some disagreement with the experiment, the general increasing trend with heating power is well captured. One reason for the discrepancy is that the fast particle </w:t>
      </w:r>
      <w:r w:rsidR="00D94F25">
        <w:t>pressure</w:t>
      </w:r>
      <w:r w:rsidR="00472189">
        <w:t xml:space="preserve"> </w:t>
      </w:r>
      <w:r w:rsidR="00D94F25">
        <w:t xml:space="preserve">that has a stabilising effect on pedestal instabilities </w:t>
      </w:r>
      <w:r w:rsidR="00472189">
        <w:t xml:space="preserve">is assumed to remain constant in the Europed scan, while in the experiment it increases with power. </w:t>
      </w:r>
    </w:p>
    <w:p w:rsidR="00765487" w:rsidRDefault="00C475BA" w:rsidP="00AE3248">
      <w:pPr>
        <w:pStyle w:val="Heading2"/>
        <w:numPr>
          <w:ilvl w:val="0"/>
          <w:numId w:val="4"/>
        </w:numPr>
      </w:pPr>
      <w:r>
        <w:t>Edge b</w:t>
      </w:r>
      <w:r w:rsidR="00944446">
        <w:t xml:space="preserve">ootstrap current </w:t>
      </w:r>
      <w:r>
        <w:t>measurement and modelling</w:t>
      </w:r>
      <w:r w:rsidR="00AE3248">
        <w:t xml:space="preserve"> (deliverable 19)</w:t>
      </w:r>
    </w:p>
    <w:p w:rsidR="00C475BA" w:rsidRDefault="00C475BA" w:rsidP="00C475BA">
      <w:r>
        <w:t xml:space="preserve">The SAMI (synthetic aperture microwave imaging) system developed under this project was installed in NSTX-U for measurement of the pedestal current. The system operated as expected and pitch-angle data was collected. Figure </w:t>
      </w:r>
      <w:r w:rsidR="00AE3248">
        <w:t>7</w:t>
      </w:r>
      <w:r>
        <w:t xml:space="preserve"> shows the comparison of the SAMI measured pitch-angle and the pitch-angle from the EFIT reconstruction </w:t>
      </w:r>
      <w:r w:rsidR="00A337D3">
        <w:t xml:space="preserve">for a single location </w:t>
      </w:r>
      <w:r>
        <w:t>in the pedestal region</w:t>
      </w:r>
      <w:r w:rsidR="00A337D3">
        <w:t xml:space="preserve"> proving that the method works</w:t>
      </w:r>
      <w:r>
        <w:t xml:space="preserve">. However, before the full pedestal current profile measurements could be started NSTX-U had </w:t>
      </w:r>
      <w:r w:rsidR="00A337D3">
        <w:t xml:space="preserve">an accident that </w:t>
      </w:r>
      <w:r>
        <w:t>end</w:t>
      </w:r>
      <w:r w:rsidR="00A337D3">
        <w:t>ed</w:t>
      </w:r>
      <w:r>
        <w:t xml:space="preserve"> the campaign. The measurements will continue on</w:t>
      </w:r>
      <w:r w:rsidR="00A337D3">
        <w:t>ce NSTX-U comes back to operation</w:t>
      </w:r>
      <w:r>
        <w:t xml:space="preserve">. An improved </w:t>
      </w:r>
      <w:r w:rsidR="00A337D3">
        <w:t xml:space="preserve">SAMI </w:t>
      </w:r>
      <w:r>
        <w:t>system will be installed on MAST Upgrade</w:t>
      </w:r>
      <w:r w:rsidR="00A337D3">
        <w:t xml:space="preserve"> in the near future</w:t>
      </w:r>
      <w:r>
        <w:t xml:space="preserve">. </w:t>
      </w:r>
    </w:p>
    <w:p w:rsidR="00C475BA" w:rsidRDefault="00C475BA" w:rsidP="00C475BA">
      <w:r>
        <w:rPr>
          <w:noProof/>
        </w:rPr>
        <w:drawing>
          <wp:inline distT="0" distB="0" distL="0" distR="0" wp14:anchorId="4F9C3505" wp14:editId="36AACEAB">
            <wp:extent cx="4235450" cy="2174432"/>
            <wp:effectExtent l="0" t="0" r="0" b="0"/>
            <wp:docPr id="1026" name="Picture 2" descr="C:\Users\Roddy\Documents\PhD_students\DavidThomas\ThesisFigures\nstx_204944_p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oddy\Documents\PhD_students\DavidThomas\ThesisFigures\nstx_204944_pitch.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360" b="71098"/>
                    <a:stretch/>
                  </pic:blipFill>
                  <pic:spPr bwMode="auto">
                    <a:xfrm>
                      <a:off x="0" y="0"/>
                      <a:ext cx="4236600" cy="2175022"/>
                    </a:xfrm>
                    <a:prstGeom prst="rect">
                      <a:avLst/>
                    </a:prstGeom>
                    <a:noFill/>
                    <a:extLst/>
                  </pic:spPr>
                </pic:pic>
              </a:graphicData>
            </a:graphic>
          </wp:inline>
        </w:drawing>
      </w:r>
    </w:p>
    <w:p w:rsidR="00C475BA" w:rsidRPr="00450A11" w:rsidRDefault="00C475BA" w:rsidP="00C475BA">
      <w:pPr>
        <w:rPr>
          <w:i/>
        </w:rPr>
      </w:pPr>
      <w:r w:rsidRPr="00450A11">
        <w:rPr>
          <w:b/>
          <w:i/>
        </w:rPr>
        <w:t xml:space="preserve">Figure </w:t>
      </w:r>
      <w:r w:rsidR="00AE3248" w:rsidRPr="00450A11">
        <w:rPr>
          <w:b/>
          <w:i/>
        </w:rPr>
        <w:t>7</w:t>
      </w:r>
      <w:r w:rsidRPr="00450A11">
        <w:rPr>
          <w:i/>
        </w:rPr>
        <w:t xml:space="preserve">. The </w:t>
      </w:r>
      <w:r w:rsidR="001D6888" w:rsidRPr="00450A11">
        <w:rPr>
          <w:i/>
        </w:rPr>
        <w:t xml:space="preserve">magnetic </w:t>
      </w:r>
      <w:r w:rsidRPr="00450A11">
        <w:rPr>
          <w:i/>
        </w:rPr>
        <w:t xml:space="preserve">pitch-angle </w:t>
      </w:r>
      <w:r w:rsidR="00A337D3" w:rsidRPr="00450A11">
        <w:rPr>
          <w:i/>
        </w:rPr>
        <w:t xml:space="preserve">as a function of time </w:t>
      </w:r>
      <w:r w:rsidRPr="00450A11">
        <w:rPr>
          <w:i/>
        </w:rPr>
        <w:t>measured by SAMI and EFIT reconstruction</w:t>
      </w:r>
      <w:r w:rsidR="001D6888" w:rsidRPr="00450A11">
        <w:rPr>
          <w:i/>
        </w:rPr>
        <w:t xml:space="preserve"> in NSTX-U pedestal</w:t>
      </w:r>
      <w:r w:rsidRPr="00450A11">
        <w:rPr>
          <w:i/>
        </w:rPr>
        <w:t>.</w:t>
      </w:r>
    </w:p>
    <w:p w:rsidR="00AE3248" w:rsidRDefault="00AE3248" w:rsidP="00AE3248">
      <w:pPr>
        <w:jc w:val="both"/>
      </w:pPr>
      <w:r>
        <w:lastRenderedPageBreak/>
        <w:t>A new analytic formula for the bootstrap current (j</w:t>
      </w:r>
      <w:r w:rsidRPr="004548D7">
        <w:rPr>
          <w:vertAlign w:val="subscript"/>
        </w:rPr>
        <w:t>BS</w:t>
      </w:r>
      <w:r>
        <w:t>) in the pedestal of tokamak plasmas, based on global GK simulations, has been proposed [14], yielding generally smaller values of j</w:t>
      </w:r>
      <w:r w:rsidRPr="00EF16A4">
        <w:rPr>
          <w:vertAlign w:val="subscript"/>
        </w:rPr>
        <w:t>BS</w:t>
      </w:r>
      <w:r>
        <w:t xml:space="preserve"> than derived in the local approximation with the Sauter’s formula [15] and with the neoclassical code NEO [16,17]. The new formula, j</w:t>
      </w:r>
      <w:r>
        <w:rPr>
          <w:vertAlign w:val="subscript"/>
        </w:rPr>
        <w:t>BS</w:t>
      </w:r>
      <w:r>
        <w:t>(Hager), has been validated against j</w:t>
      </w:r>
      <w:r w:rsidRPr="0036616D">
        <w:rPr>
          <w:vertAlign w:val="subscript"/>
        </w:rPr>
        <w:t>BS</w:t>
      </w:r>
      <w:r>
        <w:t>(Sauter) and j</w:t>
      </w:r>
      <w:r w:rsidRPr="0036616D">
        <w:rPr>
          <w:vertAlign w:val="subscript"/>
        </w:rPr>
        <w:t>BS</w:t>
      </w:r>
      <w:r>
        <w:t xml:space="preserve">(NEO) calculations for a series of JET-ILW H-modes with varying pedestal collisionalities, as shown in Figure 8, and is now included in the HELENA equilibrium solver. </w:t>
      </w:r>
    </w:p>
    <w:p w:rsidR="00AE3248" w:rsidRPr="00C475BA" w:rsidRDefault="00AE3248" w:rsidP="00C475BA"/>
    <w:p w:rsidR="001D6888" w:rsidRDefault="001D6888" w:rsidP="001D6888">
      <w:pPr>
        <w:jc w:val="center"/>
      </w:pPr>
      <w:r>
        <w:rPr>
          <w:noProof/>
        </w:rPr>
        <w:drawing>
          <wp:inline distT="0" distB="0" distL="0" distR="0" wp14:anchorId="25A43076" wp14:editId="26E3D5B7">
            <wp:extent cx="3908281" cy="2235200"/>
            <wp:effectExtent l="0" t="0" r="0" b="0"/>
            <wp:docPr id="10" name="Picture 10" descr="HELENA six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ENA sixshots"/>
                    <pic:cNvPicPr>
                      <a:picLocks noChangeAspect="1" noChangeArrowheads="1"/>
                    </pic:cNvPicPr>
                  </pic:nvPicPr>
                  <pic:blipFill>
                    <a:blip r:embed="rId20" cstate="print">
                      <a:extLst>
                        <a:ext uri="{28A0092B-C50C-407E-A947-70E740481C1C}">
                          <a14:useLocalDpi xmlns:a14="http://schemas.microsoft.com/office/drawing/2010/main" val="0"/>
                        </a:ext>
                      </a:extLst>
                    </a:blip>
                    <a:srcRect l="9373" t="7224" r="9373" b="3612"/>
                    <a:stretch>
                      <a:fillRect/>
                    </a:stretch>
                  </pic:blipFill>
                  <pic:spPr bwMode="auto">
                    <a:xfrm>
                      <a:off x="0" y="0"/>
                      <a:ext cx="3913298" cy="2238069"/>
                    </a:xfrm>
                    <a:prstGeom prst="rect">
                      <a:avLst/>
                    </a:prstGeom>
                    <a:noFill/>
                    <a:ln>
                      <a:noFill/>
                    </a:ln>
                  </pic:spPr>
                </pic:pic>
              </a:graphicData>
            </a:graphic>
          </wp:inline>
        </w:drawing>
      </w:r>
    </w:p>
    <w:p w:rsidR="001D6888" w:rsidRPr="00450A11" w:rsidRDefault="001D6888" w:rsidP="001D6888">
      <w:pPr>
        <w:jc w:val="both"/>
        <w:rPr>
          <w:i/>
        </w:rPr>
      </w:pPr>
      <w:r w:rsidRPr="00450A11">
        <w:rPr>
          <w:b/>
          <w:i/>
        </w:rPr>
        <w:t xml:space="preserve">Figure </w:t>
      </w:r>
      <w:r w:rsidR="00AE3248" w:rsidRPr="00450A11">
        <w:rPr>
          <w:b/>
          <w:i/>
        </w:rPr>
        <w:t>8</w:t>
      </w:r>
      <w:r w:rsidRPr="00450A11">
        <w:rPr>
          <w:b/>
          <w:i/>
        </w:rPr>
        <w:t>.</w:t>
      </w:r>
      <w:r w:rsidRPr="00450A11">
        <w:rPr>
          <w:i/>
        </w:rPr>
        <w:t xml:space="preserve"> Comparison of three calculations of the edge bootstrap current j</w:t>
      </w:r>
      <w:r w:rsidRPr="00450A11">
        <w:rPr>
          <w:i/>
          <w:vertAlign w:val="subscript"/>
        </w:rPr>
        <w:t>BS</w:t>
      </w:r>
      <w:r w:rsidRPr="00450A11">
        <w:rPr>
          <w:i/>
        </w:rPr>
        <w:t xml:space="preserve"> vs </w:t>
      </w:r>
      <w:r w:rsidRPr="00450A11">
        <w:rPr>
          <w:rFonts w:ascii="Symbol" w:hAnsi="Symbol"/>
          <w:i/>
        </w:rPr>
        <w:t></w:t>
      </w:r>
      <w:r w:rsidRPr="00450A11">
        <w:rPr>
          <w:i/>
          <w:vertAlign w:val="subscript"/>
        </w:rPr>
        <w:t>N</w:t>
      </w:r>
      <w:r w:rsidRPr="00450A11">
        <w:rPr>
          <w:i/>
        </w:rPr>
        <w:t>, applied to six JET-ILW H-modes with varying pedestal conditions: blue = j</w:t>
      </w:r>
      <w:r w:rsidRPr="00450A11">
        <w:rPr>
          <w:i/>
          <w:vertAlign w:val="subscript"/>
        </w:rPr>
        <w:t>BS</w:t>
      </w:r>
      <w:r w:rsidRPr="00450A11">
        <w:rPr>
          <w:i/>
        </w:rPr>
        <w:t xml:space="preserve"> from Sauter’s formula calculated within HELENA, red = j</w:t>
      </w:r>
      <w:r w:rsidRPr="00450A11">
        <w:rPr>
          <w:i/>
          <w:vertAlign w:val="subscript"/>
        </w:rPr>
        <w:t>BS</w:t>
      </w:r>
      <w:r w:rsidRPr="00450A11">
        <w:rPr>
          <w:i/>
        </w:rPr>
        <w:t xml:space="preserve"> from Hagers’s formula calculated within HELENA, green = j</w:t>
      </w:r>
      <w:r w:rsidRPr="00450A11">
        <w:rPr>
          <w:i/>
          <w:vertAlign w:val="subscript"/>
        </w:rPr>
        <w:t>BS</w:t>
      </w:r>
      <w:r w:rsidRPr="00450A11">
        <w:rPr>
          <w:i/>
        </w:rPr>
        <w:t xml:space="preserve"> calculated with the NEO code. Cases (a) and (f) are pedestals at low </w:t>
      </w:r>
      <w:r w:rsidRPr="00450A11">
        <w:rPr>
          <w:rFonts w:ascii="Symbol" w:hAnsi="Symbol"/>
          <w:i/>
        </w:rPr>
        <w:t></w:t>
      </w:r>
      <w:r w:rsidRPr="00450A11">
        <w:rPr>
          <w:i/>
        </w:rPr>
        <w:t xml:space="preserve">*, while (b) and (f) are pedestals at high </w:t>
      </w:r>
      <w:r w:rsidRPr="00450A11">
        <w:rPr>
          <w:rFonts w:ascii="Symbol" w:hAnsi="Symbol"/>
          <w:i/>
        </w:rPr>
        <w:t></w:t>
      </w:r>
      <w:r w:rsidRPr="00450A11">
        <w:rPr>
          <w:i/>
        </w:rPr>
        <w:t>*.</w:t>
      </w:r>
    </w:p>
    <w:p w:rsidR="00550F49" w:rsidRDefault="00550F49" w:rsidP="00AE3248">
      <w:pPr>
        <w:pStyle w:val="Heading2"/>
        <w:numPr>
          <w:ilvl w:val="0"/>
          <w:numId w:val="4"/>
        </w:numPr>
      </w:pPr>
      <w:r w:rsidRPr="00550F49">
        <w:t>Extension of ELITE to low toroidal mode number</w:t>
      </w:r>
      <w:r w:rsidR="00AE3248">
        <w:t xml:space="preserve"> (deliverable 9)</w:t>
      </w:r>
    </w:p>
    <w:p w:rsidR="00AE3248" w:rsidRDefault="00550F49" w:rsidP="00550F49">
      <w:r w:rsidRPr="00550F49">
        <w:t>ELITE [</w:t>
      </w:r>
      <w:r>
        <w:t>18,19</w:t>
      </w:r>
      <w:r w:rsidRPr="00550F49">
        <w:t>] was developed to efficiently calculate intermediate toroidal mode number, n, ideal MHD stability in the pedestal. The efficiency benefited from an expansion in toroidal mode number, which retains higher order terms to remain accurate down to n~4-5. However, the pedestal is often limited by low n MHD, such as the so-called Edge Harmonic Oscillation of QH mode. To meet this requirement required an extension of ELITE to low toroidal mode number.</w:t>
      </w:r>
      <w:r>
        <w:t xml:space="preserve"> </w:t>
      </w:r>
      <w:r w:rsidRPr="00550F49">
        <w:t xml:space="preserve">In collaboration with General Atomics, the analytic theory was developed to derive a pair of coupled differential equations for the two components of displacement perpendicular to magnetic field lines, and the ELITE code extended to provide a numerical solution of the eigenmode problem, yielding the growth rate as an eigenvalue. The basic structure of ELITE was preserved. Fig </w:t>
      </w:r>
      <w:r w:rsidR="00AE3248">
        <w:t>9</w:t>
      </w:r>
      <w:r w:rsidRPr="00550F49">
        <w:t xml:space="preserve"> shows a sample benchmark case for a high resolution equilibrium. For toroidal mode number n&gt;5, there is excellent agreement in the growth rate between the new low n version of ELITE and the original version. At lower toroidal mode number, we compare with the MARG2D code [</w:t>
      </w:r>
      <w:r>
        <w:t>20</w:t>
      </w:r>
      <w:r w:rsidRPr="00550F49">
        <w:t>], again finding very good agreement.</w:t>
      </w:r>
    </w:p>
    <w:p w:rsidR="00A337D3" w:rsidRPr="00550F49" w:rsidRDefault="00A337D3" w:rsidP="00A337D3">
      <w:pPr>
        <w:jc w:val="both"/>
      </w:pPr>
      <w:r w:rsidRPr="00550F49">
        <w:t>When there is strong shaping (as in this benchmark, for example) we find that convergence of the new low n version of ELITE requires many more poloidal Fourier harmonics, and much higher poloidal resolution than the original version of ELITE. This appears to be associated with the calculation of the perpendicular component of displacement in the flux surface, which does not seem to be affected by field line bending to the same extent as the radial component. We are exploring new ways to treat this to further improve the efficiency of ELITE in the future.</w:t>
      </w:r>
    </w:p>
    <w:p w:rsidR="00550F49" w:rsidRDefault="00550F49" w:rsidP="00550F49">
      <w:pPr>
        <w:rPr>
          <w:noProof/>
          <w:sz w:val="20"/>
          <w:szCs w:val="20"/>
        </w:rPr>
      </w:pPr>
      <w:r>
        <w:rPr>
          <w:noProof/>
          <w:sz w:val="20"/>
          <w:szCs w:val="20"/>
        </w:rPr>
        <w:lastRenderedPageBreak/>
        <w:t>a)</w:t>
      </w:r>
      <w:r>
        <w:rPr>
          <w:noProof/>
          <w:sz w:val="20"/>
          <w:szCs w:val="20"/>
        </w:rPr>
        <w:drawing>
          <wp:inline distT="0" distB="0" distL="0" distR="0" wp14:anchorId="0991DEDD" wp14:editId="3C1F7E21">
            <wp:extent cx="1673779" cy="218168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209" cy="2190067"/>
                    </a:xfrm>
                    <a:prstGeom prst="rect">
                      <a:avLst/>
                    </a:prstGeom>
                    <a:noFill/>
                    <a:ln>
                      <a:noFill/>
                    </a:ln>
                  </pic:spPr>
                </pic:pic>
              </a:graphicData>
            </a:graphic>
          </wp:inline>
        </w:drawing>
      </w:r>
      <w:r>
        <w:rPr>
          <w:noProof/>
          <w:sz w:val="20"/>
          <w:szCs w:val="20"/>
        </w:rPr>
        <w:t>b)</w:t>
      </w:r>
      <w:r w:rsidRPr="00550F49">
        <w:rPr>
          <w:noProof/>
          <w:sz w:val="20"/>
          <w:szCs w:val="20"/>
        </w:rPr>
        <w:t xml:space="preserve"> </w:t>
      </w:r>
      <w:r>
        <w:rPr>
          <w:noProof/>
          <w:sz w:val="20"/>
          <w:szCs w:val="20"/>
        </w:rPr>
        <w:drawing>
          <wp:inline distT="0" distB="0" distL="0" distR="0" wp14:anchorId="072E97DF" wp14:editId="2184EAE1">
            <wp:extent cx="2905125" cy="222156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808" cy="2222088"/>
                    </a:xfrm>
                    <a:prstGeom prst="rect">
                      <a:avLst/>
                    </a:prstGeom>
                    <a:noFill/>
                    <a:ln>
                      <a:noFill/>
                    </a:ln>
                  </pic:spPr>
                </pic:pic>
              </a:graphicData>
            </a:graphic>
          </wp:inline>
        </w:drawing>
      </w:r>
    </w:p>
    <w:p w:rsidR="00550F49" w:rsidRDefault="00550F49" w:rsidP="00550F49">
      <w:pPr>
        <w:rPr>
          <w:i/>
        </w:rPr>
      </w:pPr>
      <w:r>
        <w:rPr>
          <w:i/>
        </w:rPr>
        <w:t xml:space="preserve">Fig </w:t>
      </w:r>
      <w:r w:rsidR="00AE3248">
        <w:rPr>
          <w:i/>
        </w:rPr>
        <w:t>9</w:t>
      </w:r>
      <w:r w:rsidRPr="00550F49">
        <w:rPr>
          <w:i/>
        </w:rPr>
        <w:t xml:space="preserve"> (a) shows the poloidal cross section of the EFIT equilibrium used to benchmark the low n version of ELITE with the mode structure for n=5. (b) Shows the good agreement between the new low n version of ELITE and the original version for n&gt;5, and with the MARG2D code at low n [</w:t>
      </w:r>
      <w:r w:rsidR="00450A11">
        <w:rPr>
          <w:i/>
        </w:rPr>
        <w:t>21]</w:t>
      </w:r>
    </w:p>
    <w:p w:rsidR="00B84A57" w:rsidRPr="00B84A57" w:rsidRDefault="00B84A57" w:rsidP="00B84A57">
      <w:pPr>
        <w:jc w:val="both"/>
      </w:pPr>
      <w:r w:rsidRPr="00550F49">
        <w:t>We have also extended ELITE to be able to treat non-monotonic q profiles. The safety factor, q, is used as the radial variable in the original version of ELITE, which causes problems when q is not single-valued, as can happen in low collisionality edge pedestals with strong bootstrap current. A new version of ELITE has been written to use poloidal flux instead of q. This works well for highly resolved “theoretical” equilibria. However, for less refined EFIT equilibria, where original ELITE still performs well, the mapping from q to flux is not as robust as we would like. We are seeking further improvements to the algorithms to use the original q variable in radial regions where q is monotonic, connecting those regions with a poloidal flux mesh where the magnetic shear is low; this is work in progress.</w:t>
      </w:r>
    </w:p>
    <w:p w:rsidR="00765487" w:rsidRDefault="00BB55D7" w:rsidP="00AE3248">
      <w:pPr>
        <w:pStyle w:val="Heading2"/>
        <w:numPr>
          <w:ilvl w:val="0"/>
          <w:numId w:val="4"/>
        </w:numPr>
      </w:pPr>
      <w:r>
        <w:t>Development on non-linear and non-ideal effects on pedestal stability</w:t>
      </w:r>
      <w:r w:rsidR="00AE3248">
        <w:t xml:space="preserve"> (deliverable 13)</w:t>
      </w:r>
    </w:p>
    <w:p w:rsidR="00BB55D7" w:rsidRDefault="00BB55D7" w:rsidP="00BB55D7">
      <w:r>
        <w:t xml:space="preserve">Using the 3D non-linear MHD code JOREK, we have analysed a set of JET-ILW discharges to quantify the effect of non-ideal MHD terms on the linear stability of peeling-ballooning modes. It was shown that these effects can have a significant impact on the linear MHD threshold of ELMs, and that JOREK calculations were in relatively good agreement with their corresponding experiments. Thus, </w:t>
      </w:r>
      <w:r w:rsidR="001B0A2B">
        <w:t xml:space="preserve">the </w:t>
      </w:r>
      <w:r>
        <w:t>us</w:t>
      </w:r>
      <w:r w:rsidR="001B0A2B">
        <w:t xml:space="preserve">e of </w:t>
      </w:r>
      <w:r>
        <w:t xml:space="preserve">a non-ideal MHD code </w:t>
      </w:r>
      <w:r w:rsidR="001B0A2B">
        <w:t xml:space="preserve">such as </w:t>
      </w:r>
      <w:r>
        <w:t>JOREK could improve Europed predictions in cases where the ideal MHD calculations obtained by ELITE are in disagreement with experiments (</w:t>
      </w:r>
      <w:r w:rsidR="001B0A2B">
        <w:t xml:space="preserve">e.g. </w:t>
      </w:r>
      <w:r>
        <w:t xml:space="preserve"> the high gas fuelling discharges</w:t>
      </w:r>
      <w:r w:rsidR="001B0A2B">
        <w:t xml:space="preserve"> in JET-ILW</w:t>
      </w:r>
      <w:r>
        <w:t>).</w:t>
      </w:r>
    </w:p>
    <w:p w:rsidR="001B0A2B" w:rsidRDefault="00BB55D7" w:rsidP="00BB55D7">
      <w:r>
        <w:t>It has also been shown that when increasing the pedestal pressure from a stable to an unstable level, there are two distinct thresholds: a linear threshold and a nonlinear threshold. Although these two thresholds are not far from one another in terms of pedestal pressure (</w:t>
      </w:r>
      <w:r>
        <w:rPr>
          <w:rFonts w:ascii="Cambria Math" w:hAnsi="Cambria Math" w:cs="Cambria Math"/>
        </w:rPr>
        <w:t>∼</w:t>
      </w:r>
      <w:r>
        <w:t>10%), the resulting ELM dynamics and amplitude is significantly larger in the nonlinear threshold crash. To obtain such a complete non-linear crash from JOREK on a systematic basis in Europed is not conceivable in the near future, as such simulations are numerically challenging and expensive.</w:t>
      </w:r>
      <w:r w:rsidR="001B0A2B">
        <w:t xml:space="preserve"> </w:t>
      </w:r>
    </w:p>
    <w:p w:rsidR="00BB55D7" w:rsidRDefault="00BB55D7" w:rsidP="00BB55D7">
      <w:r>
        <w:t xml:space="preserve">We have made significant improvements to the edge modelling capabilities of BOUT++, with applications to edge flows and stability. This includes new methods for calculating electrostatic potential, self-consistent evolution of Pfirsch-Schluter flows and currents, which could not be done </w:t>
      </w:r>
      <w:r>
        <w:lastRenderedPageBreak/>
        <w:t xml:space="preserve">previously in BOUT++. Several neutral gas models have been implemented, including fluid neutrals and a basic coupling to the EIRENE monte-carlo code. We have also made improvements to the mesh and coordinate system, to enable grids to better align with the walls of the device. Benchmarking of BOUT++ against ELITE has continued, and identified disagreements at low n which are being investigated. This work will be continued by a York/CCFE PhD student, jointly supervised between </w:t>
      </w:r>
      <w:r w:rsidR="001C51EE">
        <w:t xml:space="preserve">H. Wilson, </w:t>
      </w:r>
      <w:r>
        <w:t>B.Dudson and S.Pamela.</w:t>
      </w:r>
    </w:p>
    <w:p w:rsidR="00C05833" w:rsidRDefault="00C05833" w:rsidP="00AE3248">
      <w:pPr>
        <w:pStyle w:val="Heading2"/>
        <w:numPr>
          <w:ilvl w:val="0"/>
          <w:numId w:val="4"/>
        </w:numPr>
      </w:pPr>
      <w:r>
        <w:t>Summary of the full two year project to develop a predictive pedestal model</w:t>
      </w:r>
    </w:p>
    <w:p w:rsidR="00C05833" w:rsidRPr="00C05833" w:rsidRDefault="00C05833" w:rsidP="00C05833">
      <w:r>
        <w:t xml:space="preserve">The project has delivered </w:t>
      </w:r>
      <w:r w:rsidR="001B0A2B">
        <w:t xml:space="preserve">the code </w:t>
      </w:r>
      <w:r>
        <w:t xml:space="preserve">Europed that can predict </w:t>
      </w:r>
      <w:r w:rsidR="004D1BFE">
        <w:t xml:space="preserve">pre-ELM </w:t>
      </w:r>
      <w:r>
        <w:t xml:space="preserve">pedestals </w:t>
      </w:r>
      <w:r w:rsidR="003263DF">
        <w:t xml:space="preserve">without prior knowledge of density and global </w:t>
      </w:r>
      <w:r w:rsidR="003263DF" w:rsidRPr="001262A2">
        <w:rPr>
          <w:rFonts w:ascii="Symbol" w:hAnsi="Symbol"/>
        </w:rPr>
        <w:t></w:t>
      </w:r>
      <w:r w:rsidR="003263DF">
        <w:t xml:space="preserve">. </w:t>
      </w:r>
      <w:r w:rsidR="001262A2">
        <w:t xml:space="preserve">The project has </w:t>
      </w:r>
      <w:r w:rsidR="003263DF">
        <w:t xml:space="preserve">conducted a range of gyrokinetic studies </w:t>
      </w:r>
      <w:r w:rsidR="001262A2">
        <w:t xml:space="preserve">and developed a pedestal gradient limit criterion based on the global gyrokinetics and found a tearing parity KBM-like instability that can play an important role in the pedestal evolution between ELMs. We have extended </w:t>
      </w:r>
      <w:r w:rsidR="001B0A2B">
        <w:t xml:space="preserve">the </w:t>
      </w:r>
      <w:r w:rsidR="001262A2">
        <w:t xml:space="preserve">ELITE stability code to handle arbitrary toroidal mode numbers, which is necessary for pedestals limited by pure peeling modes. The simulations using the non-ideal JOREK code has found good agreement of the pedestal stability limit with the experiment when ideal MHD would indicate that the plasma is far from the stability limit. Furthermore, the non-linear JOREK studies have shown that the linear limit for the peeling-ballooning modes may be below the actual ELM-triggering limit. </w:t>
      </w:r>
      <w:r w:rsidR="002A2FC7">
        <w:t xml:space="preserve">A preliminary investigation of a model for small ELMs based on two instabilities alternating depending on the flow shear profile has been performed </w:t>
      </w:r>
      <w:r w:rsidR="004346D6">
        <w:t>[</w:t>
      </w:r>
      <w:r w:rsidR="00550F49">
        <w:t>2</w:t>
      </w:r>
      <w:r w:rsidR="00450A11">
        <w:t>2</w:t>
      </w:r>
      <w:r w:rsidR="004346D6">
        <w:t xml:space="preserve">] </w:t>
      </w:r>
      <w:r w:rsidR="002A2FC7">
        <w:t xml:space="preserve">and the work will continue as a post-doc project. </w:t>
      </w:r>
      <w:r w:rsidR="001262A2">
        <w:t xml:space="preserve">We have conducted first measurements leading to the reconstruction of the current profile in the pedestal and implemented a new bootstrap current formula into our prediction code. </w:t>
      </w:r>
      <w:r w:rsidR="00601084">
        <w:t>The Europed model has been tested against JET experiments with good results. Further tests with MST1 devices will follow.</w:t>
      </w:r>
    </w:p>
    <w:p w:rsidR="00BB55D7" w:rsidRPr="006D1437" w:rsidRDefault="001B4443" w:rsidP="006D1437">
      <w:pPr>
        <w:spacing w:after="0"/>
        <w:rPr>
          <w:b/>
        </w:rPr>
      </w:pPr>
      <w:r w:rsidRPr="006D1437">
        <w:rPr>
          <w:b/>
        </w:rPr>
        <w:t>References</w:t>
      </w:r>
    </w:p>
    <w:p w:rsidR="001B4443" w:rsidRDefault="001B4443" w:rsidP="001B4443">
      <w:pPr>
        <w:spacing w:after="0" w:line="240" w:lineRule="auto"/>
      </w:pPr>
      <w:r>
        <w:t>[1]</w:t>
      </w:r>
      <w:r w:rsidRPr="001B4443">
        <w:t xml:space="preserve"> Snyder P.B.</w:t>
      </w:r>
      <w:r w:rsidR="00A01021">
        <w:t>,</w:t>
      </w:r>
      <w:r w:rsidRPr="001B4443">
        <w:t xml:space="preserve"> et al Phys. Plasmas 12 (2005) 056115</w:t>
      </w:r>
    </w:p>
    <w:p w:rsidR="00A01021" w:rsidRDefault="00A01021" w:rsidP="001B4443">
      <w:pPr>
        <w:spacing w:after="0" w:line="240" w:lineRule="auto"/>
      </w:pPr>
      <w:r>
        <w:t>[2] Saarelma S., et al. subm. to Plasma Phys. Contr. Fusion (2016)</w:t>
      </w:r>
    </w:p>
    <w:p w:rsidR="00CE12A4" w:rsidRDefault="00CE12A4" w:rsidP="00905FF9">
      <w:pPr>
        <w:spacing w:after="0" w:line="240" w:lineRule="auto"/>
      </w:pPr>
      <w:r>
        <w:t>[3] Saarelma S. et al., Nucl. Fusion  53 (2013) 123012.</w:t>
      </w:r>
    </w:p>
    <w:p w:rsidR="001B4443" w:rsidRDefault="00A01021" w:rsidP="00905FF9">
      <w:pPr>
        <w:spacing w:after="0" w:line="240" w:lineRule="auto"/>
      </w:pPr>
      <w:r>
        <w:t>[</w:t>
      </w:r>
      <w:r w:rsidR="00CE12A4">
        <w:t>4</w:t>
      </w:r>
      <w:r w:rsidR="001B4443">
        <w:t>]</w:t>
      </w:r>
      <w:r w:rsidR="001B4443" w:rsidRPr="001B4443">
        <w:t xml:space="preserve"> </w:t>
      </w:r>
      <w:r w:rsidR="001B4443">
        <w:t>Abdoul</w:t>
      </w:r>
      <w:r w:rsidR="00905FF9">
        <w:t xml:space="preserve"> P.</w:t>
      </w:r>
      <w:r w:rsidR="001B4443">
        <w:t>, et al. Plasma Phys. Contr. Fusion. 57 (2015) 65004</w:t>
      </w:r>
    </w:p>
    <w:p w:rsidR="001B4443" w:rsidRDefault="00CE12A4" w:rsidP="00905FF9">
      <w:pPr>
        <w:spacing w:after="0" w:line="240" w:lineRule="auto"/>
      </w:pPr>
      <w:r>
        <w:t>[5</w:t>
      </w:r>
      <w:r w:rsidR="001B4443">
        <w:t>] Dickinson</w:t>
      </w:r>
      <w:r w:rsidR="00905FF9">
        <w:t xml:space="preserve"> D.</w:t>
      </w:r>
      <w:r w:rsidR="001B4443">
        <w:t>, et al., Phys. Plasmas, 21 (2014) 10702</w:t>
      </w:r>
    </w:p>
    <w:p w:rsidR="00905FF9" w:rsidRDefault="00CE12A4" w:rsidP="00905FF9">
      <w:pPr>
        <w:spacing w:after="0" w:line="240" w:lineRule="auto"/>
      </w:pPr>
      <w:r>
        <w:t>[6</w:t>
      </w:r>
      <w:r w:rsidR="00905FF9">
        <w:t>] Dickinson D., et al., Plasma Phys. Contr. Fusion  53 (2011) 115010</w:t>
      </w:r>
    </w:p>
    <w:p w:rsidR="00905FF9" w:rsidRDefault="00CE12A4" w:rsidP="00905FF9">
      <w:pPr>
        <w:spacing w:after="0" w:line="240" w:lineRule="auto"/>
      </w:pPr>
      <w:r>
        <w:t>[7</w:t>
      </w:r>
      <w:r w:rsidR="00905FF9">
        <w:t>] Dickinson, D., et al., Phys. Rev. Lett., 108 (2012), 135002.</w:t>
      </w:r>
    </w:p>
    <w:p w:rsidR="00905FF9" w:rsidRDefault="00CE12A4" w:rsidP="00905FF9">
      <w:pPr>
        <w:spacing w:after="0" w:line="240" w:lineRule="auto"/>
      </w:pPr>
      <w:r>
        <w:t>[8</w:t>
      </w:r>
      <w:r w:rsidR="00905FF9">
        <w:t>] Hillesheim, J. C.,et al., Plasma Phys. Contr. Fusion, 58 (2015), 14020</w:t>
      </w:r>
    </w:p>
    <w:p w:rsidR="00905FF9" w:rsidRDefault="00A01021" w:rsidP="00905FF9">
      <w:pPr>
        <w:spacing w:after="0" w:line="240" w:lineRule="auto"/>
      </w:pPr>
      <w:r>
        <w:t>[9</w:t>
      </w:r>
      <w:r w:rsidR="00905FF9">
        <w:t>]</w:t>
      </w:r>
      <w:r w:rsidR="00905FF9" w:rsidRPr="00905FF9">
        <w:t xml:space="preserve"> Hatch </w:t>
      </w:r>
      <w:r w:rsidR="00905FF9">
        <w:t>D.R.</w:t>
      </w:r>
      <w:r w:rsidR="00905FF9" w:rsidRPr="00905FF9">
        <w:t xml:space="preserve">, </w:t>
      </w:r>
      <w:r w:rsidR="00905FF9">
        <w:t xml:space="preserve">et al., Nucl. Fusion </w:t>
      </w:r>
      <w:r w:rsidR="00905FF9" w:rsidRPr="00905FF9">
        <w:t xml:space="preserve"> 56</w:t>
      </w:r>
      <w:r w:rsidR="00905FF9">
        <w:t xml:space="preserve"> (2016)</w:t>
      </w:r>
      <w:r w:rsidR="00905FF9" w:rsidRPr="00905FF9">
        <w:t>, 104003</w:t>
      </w:r>
    </w:p>
    <w:p w:rsidR="00905FF9" w:rsidRDefault="00A01021" w:rsidP="00905FF9">
      <w:pPr>
        <w:spacing w:after="0" w:line="240" w:lineRule="auto"/>
      </w:pPr>
      <w:r>
        <w:t>[10</w:t>
      </w:r>
      <w:r w:rsidR="00905FF9">
        <w:t>] Urano H, et al. Proc.43</w:t>
      </w:r>
      <w:r w:rsidR="00905FF9" w:rsidRPr="00905FF9">
        <w:rPr>
          <w:vertAlign w:val="superscript"/>
        </w:rPr>
        <w:t>rd</w:t>
      </w:r>
      <w:r w:rsidR="00905FF9">
        <w:t xml:space="preserve"> EPS Conf. Plasma Phys. Contr. Fusion, </w:t>
      </w:r>
      <w:r w:rsidR="00C05833">
        <w:t xml:space="preserve">4-8 July, 2016 </w:t>
      </w:r>
      <w:r w:rsidR="00905FF9">
        <w:t>Leuven, Belgium</w:t>
      </w:r>
      <w:r w:rsidR="00C05833">
        <w:t>,</w:t>
      </w:r>
      <w:r w:rsidR="00C05833" w:rsidRPr="00C05833">
        <w:t xml:space="preserve"> </w:t>
      </w:r>
      <w:r w:rsidR="00C05833">
        <w:t>O4.121</w:t>
      </w:r>
    </w:p>
    <w:p w:rsidR="00C82DB3" w:rsidRDefault="00C82DB3" w:rsidP="00905FF9">
      <w:pPr>
        <w:spacing w:after="0" w:line="240" w:lineRule="auto"/>
      </w:pPr>
      <w:r>
        <w:t xml:space="preserve">[11] Groebner R.J., et al., Phys. Plasmas 9 (2002) 2134 </w:t>
      </w:r>
    </w:p>
    <w:p w:rsidR="00A47FC9" w:rsidRDefault="00A47FC9" w:rsidP="00905FF9">
      <w:pPr>
        <w:spacing w:after="0" w:line="240" w:lineRule="auto"/>
      </w:pPr>
      <w:r>
        <w:t>[</w:t>
      </w:r>
      <w:r w:rsidR="00A01021">
        <w:t>1</w:t>
      </w:r>
      <w:r w:rsidR="00C82DB3">
        <w:t>2</w:t>
      </w:r>
      <w:r>
        <w:t>] Romanelli M. et al., Plasma and Fusion Research, 9 (2014) 3403023</w:t>
      </w:r>
    </w:p>
    <w:p w:rsidR="0045359E" w:rsidRDefault="0045359E" w:rsidP="00905FF9">
      <w:pPr>
        <w:spacing w:after="0" w:line="240" w:lineRule="auto"/>
      </w:pPr>
      <w:r>
        <w:t>[</w:t>
      </w:r>
      <w:r w:rsidR="00A01021">
        <w:t>1</w:t>
      </w:r>
      <w:r w:rsidR="00C82DB3">
        <w:t>3</w:t>
      </w:r>
      <w:r w:rsidR="00C81E19">
        <w:t>]</w:t>
      </w:r>
      <w:r>
        <w:t xml:space="preserve"> Kim</w:t>
      </w:r>
      <w:r w:rsidR="00C81E19">
        <w:t xml:space="preserve"> D.</w:t>
      </w:r>
      <w:r>
        <w:t xml:space="preserve"> et al., </w:t>
      </w:r>
      <w:r w:rsidRPr="0045359E">
        <w:t>Plasma Phys. Control. Fusion</w:t>
      </w:r>
      <w:r>
        <w:t>,</w:t>
      </w:r>
      <w:r w:rsidRPr="0045359E">
        <w:t xml:space="preserve"> 58 (2016) 055002</w:t>
      </w:r>
    </w:p>
    <w:p w:rsidR="00C05833" w:rsidRDefault="00A01021" w:rsidP="00C05833">
      <w:pPr>
        <w:spacing w:after="0" w:line="240" w:lineRule="auto"/>
      </w:pPr>
      <w:r>
        <w:t>[1</w:t>
      </w:r>
      <w:r w:rsidR="00C82DB3">
        <w:t>4</w:t>
      </w:r>
      <w:r w:rsidR="00C05833">
        <w:t xml:space="preserve">] Hager R. and Chang C.S., Phys. Plasmas 23 (2016) 042503.  </w:t>
      </w:r>
    </w:p>
    <w:p w:rsidR="00C05833" w:rsidRDefault="00A01021" w:rsidP="00C05833">
      <w:pPr>
        <w:spacing w:after="0" w:line="240" w:lineRule="auto"/>
      </w:pPr>
      <w:r>
        <w:t>[1</w:t>
      </w:r>
      <w:r w:rsidR="00C82DB3">
        <w:t>5</w:t>
      </w:r>
      <w:r w:rsidR="00C05833">
        <w:t>] Sauter O. et al., Phys. Plasmas (1999) 6 2834 and Phys. Plasmas 9 (2002) 5140.</w:t>
      </w:r>
    </w:p>
    <w:p w:rsidR="00C05833" w:rsidRDefault="00A01021" w:rsidP="00C05833">
      <w:pPr>
        <w:spacing w:after="0" w:line="240" w:lineRule="auto"/>
      </w:pPr>
      <w:r>
        <w:t>[1</w:t>
      </w:r>
      <w:r w:rsidR="00C82DB3">
        <w:t>6</w:t>
      </w:r>
      <w:r w:rsidR="00C05833">
        <w:t xml:space="preserve">] Belli E. and Candy J., Plasma Phys. Control. Fusion 50 (2008) 095010. </w:t>
      </w:r>
    </w:p>
    <w:p w:rsidR="003263DF" w:rsidRDefault="00A01021" w:rsidP="00C05833">
      <w:pPr>
        <w:spacing w:after="0" w:line="240" w:lineRule="auto"/>
      </w:pPr>
      <w:r>
        <w:t>[1</w:t>
      </w:r>
      <w:r w:rsidR="00C82DB3">
        <w:t>7</w:t>
      </w:r>
      <w:r w:rsidR="00C05833">
        <w:t>] Belli E. and Candy J., Plasma Phys. Control. Fusion 54 (2012) 015015.</w:t>
      </w:r>
    </w:p>
    <w:p w:rsidR="00550F49" w:rsidRDefault="00550F49" w:rsidP="00C05833">
      <w:pPr>
        <w:spacing w:after="0" w:line="240" w:lineRule="auto"/>
      </w:pPr>
      <w:r>
        <w:t>[18]</w:t>
      </w:r>
      <w:r w:rsidRPr="00550F49">
        <w:t xml:space="preserve"> Wilson</w:t>
      </w:r>
      <w:r>
        <w:t xml:space="preserve"> H.,</w:t>
      </w:r>
      <w:r w:rsidRPr="00550F49">
        <w:t xml:space="preserve"> et al, Phys Plasmas 9 (2002) 1277</w:t>
      </w:r>
    </w:p>
    <w:p w:rsidR="00550F49" w:rsidRDefault="00550F49" w:rsidP="00C05833">
      <w:pPr>
        <w:spacing w:after="0" w:line="240" w:lineRule="auto"/>
      </w:pPr>
      <w:r>
        <w:t>[19]</w:t>
      </w:r>
      <w:r w:rsidRPr="00550F49">
        <w:t xml:space="preserve"> Synder </w:t>
      </w:r>
      <w:r>
        <w:t xml:space="preserve">P.B., </w:t>
      </w:r>
      <w:r w:rsidRPr="00550F49">
        <w:t>et al, Phys Plasmas 9 (2002) 2037</w:t>
      </w:r>
    </w:p>
    <w:p w:rsidR="00550F49" w:rsidRDefault="00550F49" w:rsidP="00C05833">
      <w:pPr>
        <w:spacing w:after="0" w:line="240" w:lineRule="auto"/>
      </w:pPr>
      <w:r>
        <w:t xml:space="preserve">[20] </w:t>
      </w:r>
      <w:r w:rsidRPr="00550F49">
        <w:t xml:space="preserve">Tokuda </w:t>
      </w:r>
      <w:r>
        <w:t xml:space="preserve">S. and </w:t>
      </w:r>
      <w:r w:rsidRPr="00550F49">
        <w:t>Watanabe</w:t>
      </w:r>
      <w:r>
        <w:t xml:space="preserve"> T.</w:t>
      </w:r>
      <w:r w:rsidRPr="00550F49">
        <w:t>, Plasma Physics and Fusion Technology, 29 (1997) 113</w:t>
      </w:r>
    </w:p>
    <w:p w:rsidR="00450A11" w:rsidRDefault="00450A11" w:rsidP="00C05833">
      <w:pPr>
        <w:spacing w:after="0" w:line="240" w:lineRule="auto"/>
      </w:pPr>
      <w:r>
        <w:t>[21]</w:t>
      </w:r>
      <w:r w:rsidRPr="00450A11">
        <w:t xml:space="preserve"> A Lunniss, University of York PhD thesis (2016)</w:t>
      </w:r>
    </w:p>
    <w:p w:rsidR="004346D6" w:rsidRDefault="00550F49" w:rsidP="00C05833">
      <w:pPr>
        <w:spacing w:after="0" w:line="240" w:lineRule="auto"/>
      </w:pPr>
      <w:r>
        <w:t xml:space="preserve">[21] </w:t>
      </w:r>
      <w:r w:rsidR="004346D6">
        <w:t>Bokshi</w:t>
      </w:r>
      <w:r>
        <w:t xml:space="preserve"> A.</w:t>
      </w:r>
      <w:r w:rsidR="004346D6">
        <w:t xml:space="preserve">, et al., </w:t>
      </w:r>
      <w:r w:rsidR="004346D6" w:rsidRPr="002A2FC7">
        <w:t xml:space="preserve">Plasma Phys. Control. Fusion 58 </w:t>
      </w:r>
      <w:r w:rsidR="004346D6">
        <w:t xml:space="preserve">(2016) </w:t>
      </w:r>
      <w:r w:rsidR="004346D6" w:rsidRPr="002A2FC7">
        <w:t>075011</w:t>
      </w:r>
    </w:p>
    <w:p w:rsidR="003263DF" w:rsidRDefault="00AE3248" w:rsidP="003263DF">
      <w:pPr>
        <w:pStyle w:val="Heading2"/>
      </w:pPr>
      <w:r>
        <w:lastRenderedPageBreak/>
        <w:t xml:space="preserve">Appendix A. </w:t>
      </w:r>
      <w:r w:rsidR="003263DF">
        <w:t>List of journal papers</w:t>
      </w:r>
      <w:r>
        <w:t>,</w:t>
      </w:r>
      <w:r w:rsidR="003263DF">
        <w:t xml:space="preserve"> conference presentations </w:t>
      </w:r>
      <w:r>
        <w:t xml:space="preserve">and student theses </w:t>
      </w:r>
      <w:r w:rsidR="008E35BF">
        <w:t>supported by</w:t>
      </w:r>
      <w:r w:rsidR="003263DF">
        <w:t xml:space="preserve"> this project</w:t>
      </w:r>
    </w:p>
    <w:p w:rsidR="003263DF" w:rsidRPr="006D1437" w:rsidRDefault="00D94F25" w:rsidP="003263DF">
      <w:pPr>
        <w:spacing w:after="0" w:line="240" w:lineRule="auto"/>
        <w:rPr>
          <w:b/>
        </w:rPr>
      </w:pPr>
      <w:r w:rsidRPr="006D1437">
        <w:rPr>
          <w:b/>
        </w:rPr>
        <w:t>Journal p</w:t>
      </w:r>
      <w:r w:rsidR="003263DF" w:rsidRPr="006D1437">
        <w:rPr>
          <w:b/>
        </w:rPr>
        <w:t>apers</w:t>
      </w:r>
      <w:r w:rsidRPr="006D1437">
        <w:rPr>
          <w:b/>
        </w:rPr>
        <w:t>:</w:t>
      </w:r>
    </w:p>
    <w:p w:rsidR="00247083" w:rsidRDefault="00247083" w:rsidP="003263DF">
      <w:pPr>
        <w:spacing w:after="0" w:line="240" w:lineRule="auto"/>
      </w:pPr>
      <w:r>
        <w:t>P. Abdoul , et al. Plasma Phys. Contr. Fusion. 57 (2015) 65004</w:t>
      </w:r>
    </w:p>
    <w:p w:rsidR="003263DF" w:rsidRPr="003263DF" w:rsidRDefault="003263DF" w:rsidP="003263DF">
      <w:pPr>
        <w:spacing w:after="0" w:line="240" w:lineRule="auto"/>
      </w:pPr>
      <w:r w:rsidRPr="003263DF">
        <w:t xml:space="preserve">D.A. Thomas, </w:t>
      </w:r>
      <w:r>
        <w:t xml:space="preserve">et al. </w:t>
      </w:r>
      <w:r w:rsidRPr="003263DF">
        <w:t xml:space="preserve">Nuclear Fusion 56 </w:t>
      </w:r>
      <w:r>
        <w:t xml:space="preserve">(2016) </w:t>
      </w:r>
      <w:r w:rsidRPr="003263DF">
        <w:t>026013</w:t>
      </w:r>
    </w:p>
    <w:p w:rsidR="003263DF" w:rsidRPr="003263DF" w:rsidRDefault="003263DF" w:rsidP="003263DF">
      <w:pPr>
        <w:spacing w:after="0" w:line="240" w:lineRule="auto"/>
      </w:pPr>
      <w:r>
        <w:t>R. G. L. Vann, et al.,</w:t>
      </w:r>
      <w:r w:rsidRPr="003263DF">
        <w:t xml:space="preserve"> Review of Scientific Instruments 87 </w:t>
      </w:r>
      <w:r>
        <w:t xml:space="preserve">(2016) </w:t>
      </w:r>
      <w:r w:rsidRPr="003263DF">
        <w:t>11D902</w:t>
      </w:r>
    </w:p>
    <w:p w:rsidR="003263DF" w:rsidRPr="003263DF" w:rsidRDefault="003263DF" w:rsidP="003263DF">
      <w:pPr>
        <w:spacing w:after="0" w:line="240" w:lineRule="auto"/>
      </w:pPr>
      <w:r w:rsidRPr="003263DF">
        <w:t xml:space="preserve">K.J. Brunner, </w:t>
      </w:r>
      <w:r>
        <w:t xml:space="preserve">et al., </w:t>
      </w:r>
      <w:r w:rsidRPr="003263DF">
        <w:t xml:space="preserve">Review of Scientific Instruments 87 </w:t>
      </w:r>
      <w:r>
        <w:t xml:space="preserve">(2016) </w:t>
      </w:r>
      <w:r w:rsidRPr="003263DF">
        <w:t>11E129</w:t>
      </w:r>
    </w:p>
    <w:p w:rsidR="003263DF" w:rsidRDefault="003263DF" w:rsidP="003263DF">
      <w:pPr>
        <w:spacing w:after="0" w:line="240" w:lineRule="auto"/>
      </w:pPr>
      <w:r w:rsidRPr="003263DF">
        <w:t xml:space="preserve">J. Chorley, </w:t>
      </w:r>
      <w:r>
        <w:t xml:space="preserve">et al., </w:t>
      </w:r>
      <w:r w:rsidRPr="003263DF">
        <w:t xml:space="preserve">Fusion Science and Technology 69 </w:t>
      </w:r>
      <w:r>
        <w:t xml:space="preserve">(2016) </w:t>
      </w:r>
      <w:r w:rsidRPr="003263DF">
        <w:t>643</w:t>
      </w:r>
    </w:p>
    <w:p w:rsidR="003263DF" w:rsidRDefault="003263DF" w:rsidP="003263DF">
      <w:pPr>
        <w:spacing w:after="0" w:line="240" w:lineRule="auto"/>
      </w:pPr>
      <w:r>
        <w:t>J. C. Hillesheim, et al., Plasma Phys. Contr. Fusion, 58 (2015), 14020</w:t>
      </w:r>
    </w:p>
    <w:p w:rsidR="002A2FC7" w:rsidRDefault="002A2FC7" w:rsidP="003263DF">
      <w:pPr>
        <w:spacing w:after="0" w:line="240" w:lineRule="auto"/>
      </w:pPr>
      <w:r>
        <w:t xml:space="preserve">A. Bokshi, et al., </w:t>
      </w:r>
      <w:r w:rsidRPr="002A2FC7">
        <w:t xml:space="preserve">Plasma Phys. Control. Fusion 58 </w:t>
      </w:r>
      <w:r>
        <w:t xml:space="preserve">(2016) </w:t>
      </w:r>
      <w:r w:rsidRPr="002A2FC7">
        <w:t>075011</w:t>
      </w:r>
    </w:p>
    <w:p w:rsidR="003263DF" w:rsidRDefault="003263DF" w:rsidP="003263DF">
      <w:pPr>
        <w:spacing w:after="0" w:line="240" w:lineRule="auto"/>
      </w:pPr>
      <w:r>
        <w:t>S. Saarelma, et al., “</w:t>
      </w:r>
      <w:r w:rsidRPr="003263DF">
        <w:t>Non-Local Effects on Pedestal Kinetic Ballooning Mode Stability</w:t>
      </w:r>
      <w:r>
        <w:t xml:space="preserve">” subm. to Plasma Phys. Contr. Fusion. </w:t>
      </w:r>
    </w:p>
    <w:p w:rsidR="003263DF" w:rsidRDefault="003263DF" w:rsidP="003263DF">
      <w:pPr>
        <w:spacing w:after="0" w:line="240" w:lineRule="auto"/>
      </w:pPr>
    </w:p>
    <w:p w:rsidR="003263DF" w:rsidRPr="006D1437" w:rsidRDefault="003263DF" w:rsidP="003263DF">
      <w:pPr>
        <w:spacing w:after="0" w:line="240" w:lineRule="auto"/>
        <w:rPr>
          <w:b/>
        </w:rPr>
      </w:pPr>
      <w:r w:rsidRPr="006D1437">
        <w:rPr>
          <w:b/>
        </w:rPr>
        <w:t>Conferences:</w:t>
      </w:r>
    </w:p>
    <w:p w:rsidR="00900BA0" w:rsidRDefault="00247083" w:rsidP="003263DF">
      <w:pPr>
        <w:spacing w:after="0" w:line="240" w:lineRule="auto"/>
      </w:pPr>
      <w:r>
        <w:t xml:space="preserve">D. Thomas, </w:t>
      </w:r>
      <w:r w:rsidR="003263DF" w:rsidRPr="003263DF">
        <w:t>21st Topical Conference on High Temperature Plasma Diagnostics, Madison, USA (both an invited talk and a poster)</w:t>
      </w:r>
    </w:p>
    <w:p w:rsidR="00900BA0" w:rsidRPr="003263DF" w:rsidRDefault="00247083" w:rsidP="00900BA0">
      <w:pPr>
        <w:spacing w:after="0" w:line="240" w:lineRule="auto"/>
      </w:pPr>
      <w:r>
        <w:t xml:space="preserve">H. Wilson, </w:t>
      </w:r>
      <w:r w:rsidR="00900BA0">
        <w:t>42</w:t>
      </w:r>
      <w:r w:rsidR="00900BA0" w:rsidRPr="003263DF">
        <w:rPr>
          <w:vertAlign w:val="superscript"/>
        </w:rPr>
        <w:t>nd</w:t>
      </w:r>
      <w:r w:rsidR="00900BA0">
        <w:t xml:space="preserve"> European Physical Society </w:t>
      </w:r>
      <w:r w:rsidR="00900BA0" w:rsidRPr="003263DF">
        <w:t>Conference on Plasma Physics</w:t>
      </w:r>
      <w:r w:rsidR="00900BA0">
        <w:t>, Lisbon, Portugal (plenary talk)</w:t>
      </w:r>
    </w:p>
    <w:p w:rsidR="003263DF" w:rsidRPr="003263DF" w:rsidRDefault="00247083" w:rsidP="003263DF">
      <w:pPr>
        <w:spacing w:after="0" w:line="240" w:lineRule="auto"/>
      </w:pPr>
      <w:r>
        <w:t xml:space="preserve">C.M. Roach, </w:t>
      </w:r>
      <w:r w:rsidR="003263DF">
        <w:t>42</w:t>
      </w:r>
      <w:r w:rsidR="003263DF" w:rsidRPr="003263DF">
        <w:rPr>
          <w:vertAlign w:val="superscript"/>
        </w:rPr>
        <w:t>nd</w:t>
      </w:r>
      <w:r w:rsidR="003263DF">
        <w:t xml:space="preserve"> European Physical Society </w:t>
      </w:r>
      <w:r w:rsidR="003263DF" w:rsidRPr="003263DF">
        <w:t>Conference on Plasma Physics</w:t>
      </w:r>
      <w:r w:rsidR="003263DF">
        <w:t>, Lisbon, Portugal (poster)</w:t>
      </w:r>
    </w:p>
    <w:p w:rsidR="003263DF" w:rsidRDefault="009157BF" w:rsidP="003263DF">
      <w:pPr>
        <w:spacing w:after="0" w:line="240" w:lineRule="auto"/>
      </w:pPr>
      <w:r>
        <w:t xml:space="preserve">A. Lunniss, </w:t>
      </w:r>
      <w:r w:rsidR="003263DF" w:rsidRPr="003263DF">
        <w:t>43rd European Physical Society Conference on Plasma Physics, Leuven, Belgium (contributed oral)</w:t>
      </w:r>
    </w:p>
    <w:p w:rsidR="009157BF" w:rsidRPr="003263DF" w:rsidRDefault="009157BF" w:rsidP="009157BF">
      <w:pPr>
        <w:spacing w:after="0" w:line="240" w:lineRule="auto"/>
      </w:pPr>
      <w:r>
        <w:t xml:space="preserve">A. Bokshi, </w:t>
      </w:r>
      <w:r w:rsidRPr="003263DF">
        <w:t>43rd European Physical Society Conference on Plasma Physics, Leuven, Belgium (</w:t>
      </w:r>
      <w:r>
        <w:t>poster</w:t>
      </w:r>
      <w:r w:rsidRPr="003263DF">
        <w:t>)</w:t>
      </w:r>
    </w:p>
    <w:p w:rsidR="003263DF" w:rsidRPr="003263DF" w:rsidRDefault="00EF60E6" w:rsidP="003263DF">
      <w:pPr>
        <w:spacing w:after="0" w:line="240" w:lineRule="auto"/>
      </w:pPr>
      <w:r>
        <w:t xml:space="preserve">A. Lunniss, </w:t>
      </w:r>
      <w:r w:rsidR="003263DF" w:rsidRPr="003263DF">
        <w:t>43rd Institute of Physics Plasma Physics Conference, Sabhal Mòr Ostaig, UK (contributed oral)</w:t>
      </w:r>
    </w:p>
    <w:p w:rsidR="003263DF" w:rsidRDefault="00EF60E6" w:rsidP="003263DF">
      <w:pPr>
        <w:spacing w:after="0" w:line="240" w:lineRule="auto"/>
      </w:pPr>
      <w:r>
        <w:t xml:space="preserve">R. Vann, </w:t>
      </w:r>
      <w:r w:rsidR="003263DF" w:rsidRPr="003263DF">
        <w:t>58th Annual Meeting of the APS Division of Plasma Physics, San Jose, USA (poster)</w:t>
      </w:r>
    </w:p>
    <w:p w:rsidR="003263DF" w:rsidRDefault="00D94F25" w:rsidP="003263DF">
      <w:pPr>
        <w:spacing w:after="0" w:line="240" w:lineRule="auto"/>
      </w:pPr>
      <w:r>
        <w:t xml:space="preserve">S. Saarelma, </w:t>
      </w:r>
      <w:r w:rsidR="00BE08CF" w:rsidRPr="00BE08CF">
        <w:t>Joint Varenna-Lausanne Interna</w:t>
      </w:r>
      <w:r w:rsidR="00BE08CF">
        <w:t>tional Workshop, Varenna, Italy, 2016. (invited talk)</w:t>
      </w:r>
    </w:p>
    <w:p w:rsidR="00D94F25" w:rsidRDefault="00D94F25" w:rsidP="003263DF">
      <w:pPr>
        <w:spacing w:after="0" w:line="240" w:lineRule="auto"/>
      </w:pPr>
      <w:r>
        <w:t xml:space="preserve">J. Martin-Collar, 2016 </w:t>
      </w:r>
      <w:r w:rsidRPr="00D94F25">
        <w:t>International Workshop on Numerical Methods for Kinetic Equations</w:t>
      </w:r>
      <w:r>
        <w:t>, Strassbourg, France (invited talk)</w:t>
      </w:r>
    </w:p>
    <w:p w:rsidR="009157BF" w:rsidRPr="009157BF" w:rsidRDefault="009157BF" w:rsidP="009157BF">
      <w:pPr>
        <w:spacing w:after="0" w:line="240" w:lineRule="auto"/>
      </w:pPr>
      <w:r w:rsidRPr="009157BF">
        <w:t>A. Bokshi EU/US TTF, Salem, USA (oral and poster)</w:t>
      </w:r>
    </w:p>
    <w:p w:rsidR="009157BF" w:rsidRPr="009157BF" w:rsidRDefault="009157BF" w:rsidP="003263DF">
      <w:pPr>
        <w:spacing w:after="0" w:line="240" w:lineRule="auto"/>
      </w:pPr>
      <w:r w:rsidRPr="009157BF">
        <w:t>H. Wilson, EU/US TTF , Salem, 2015 (review talk)</w:t>
      </w:r>
    </w:p>
    <w:p w:rsidR="009157BF" w:rsidRPr="009157BF" w:rsidRDefault="009157BF" w:rsidP="003263DF">
      <w:pPr>
        <w:spacing w:after="0" w:line="240" w:lineRule="auto"/>
      </w:pPr>
      <w:r w:rsidRPr="009157BF">
        <w:t>H. Wilson, ITPA Pedestal Group meeting, Ahmedabad, India, 2016 (oral)</w:t>
      </w:r>
    </w:p>
    <w:p w:rsidR="003263DF" w:rsidRPr="009157BF" w:rsidRDefault="003263DF" w:rsidP="003263DF">
      <w:pPr>
        <w:spacing w:after="0" w:line="240" w:lineRule="auto"/>
      </w:pPr>
    </w:p>
    <w:p w:rsidR="001262A2" w:rsidRPr="006D1437" w:rsidRDefault="001262A2" w:rsidP="003263DF">
      <w:pPr>
        <w:spacing w:after="0" w:line="240" w:lineRule="auto"/>
        <w:rPr>
          <w:b/>
        </w:rPr>
      </w:pPr>
      <w:r w:rsidRPr="006D1437">
        <w:rPr>
          <w:b/>
        </w:rPr>
        <w:t xml:space="preserve">Student </w:t>
      </w:r>
      <w:r w:rsidR="00DB2839" w:rsidRPr="006D1437">
        <w:rPr>
          <w:b/>
        </w:rPr>
        <w:t>theses</w:t>
      </w:r>
      <w:r w:rsidR="006D1437">
        <w:rPr>
          <w:b/>
        </w:rPr>
        <w:t>:</w:t>
      </w:r>
    </w:p>
    <w:p w:rsidR="00DB2839" w:rsidRPr="00DB2839" w:rsidRDefault="00194EDA" w:rsidP="003263DF">
      <w:pPr>
        <w:spacing w:after="0" w:line="240" w:lineRule="auto"/>
      </w:pPr>
      <w:r>
        <w:t>A.</w:t>
      </w:r>
      <w:r w:rsidR="00DB2839">
        <w:t xml:space="preserve"> J</w:t>
      </w:r>
      <w:r w:rsidR="00DB2839">
        <w:rPr>
          <w:lang w:val="fi-FI"/>
        </w:rPr>
        <w:t xml:space="preserve">ärvinen, </w:t>
      </w:r>
      <w:r w:rsidR="00DB2839">
        <w:t>PhD thesis, Espoo, Finland</w:t>
      </w:r>
      <w:r w:rsidR="00192A43">
        <w:t>,</w:t>
      </w:r>
      <w:r w:rsidR="00182E2B">
        <w:t xml:space="preserve"> “</w:t>
      </w:r>
      <w:r w:rsidR="00182E2B" w:rsidRPr="00182E2B">
        <w:t>Radiative divertor studies in JET high confinement mode plasmas ﻿</w:t>
      </w:r>
      <w:r w:rsidR="00182E2B">
        <w:t>“</w:t>
      </w:r>
    </w:p>
    <w:p w:rsidR="00DB2839" w:rsidRDefault="00DB2839" w:rsidP="003263DF">
      <w:pPr>
        <w:spacing w:after="0" w:line="240" w:lineRule="auto"/>
      </w:pPr>
      <w:r>
        <w:t>J</w:t>
      </w:r>
      <w:r w:rsidR="00194EDA">
        <w:t>.</w:t>
      </w:r>
      <w:r>
        <w:t xml:space="preserve"> Leddy, PhD thesis, York, UK</w:t>
      </w:r>
      <w:r w:rsidR="00182E2B">
        <w:t>, “</w:t>
      </w:r>
      <w:r w:rsidR="00182E2B" w:rsidRPr="00182E2B">
        <w:t>Integrated modelling of tokamak core and edge plasma turbulence</w:t>
      </w:r>
      <w:r w:rsidR="00182E2B">
        <w:t>”</w:t>
      </w:r>
    </w:p>
    <w:p w:rsidR="009157BF" w:rsidRPr="00550F49" w:rsidRDefault="009157BF" w:rsidP="003263DF">
      <w:pPr>
        <w:spacing w:after="0" w:line="240" w:lineRule="auto"/>
      </w:pPr>
      <w:r w:rsidRPr="00550F49">
        <w:t>A Bokshi, PhD thesis, York, UK</w:t>
      </w:r>
      <w:r w:rsidR="00182E2B">
        <w:t>, “</w:t>
      </w:r>
      <w:r w:rsidR="00192A43" w:rsidRPr="00192A43">
        <w:t xml:space="preserve">'On the self-consistent response of tokamak microinstabilities to plasma </w:t>
      </w:r>
      <w:r w:rsidR="00192A43">
        <w:t>profile evolution”</w:t>
      </w:r>
    </w:p>
    <w:p w:rsidR="00DB2839" w:rsidRDefault="00DB2839" w:rsidP="00182E2B">
      <w:pPr>
        <w:spacing w:after="0" w:line="240" w:lineRule="auto"/>
      </w:pPr>
      <w:r>
        <w:t>A</w:t>
      </w:r>
      <w:r w:rsidR="00194EDA">
        <w:t>.</w:t>
      </w:r>
      <w:r>
        <w:t xml:space="preserve"> Lunniss, PhD thesis, York, UK</w:t>
      </w:r>
      <w:r w:rsidR="00182E2B">
        <w:t>, “</w:t>
      </w:r>
      <w:r w:rsidR="00182E2B">
        <w:t>Modelling Eruptions and Edge Stability in</w:t>
      </w:r>
      <w:r w:rsidR="00182E2B">
        <w:t xml:space="preserve"> </w:t>
      </w:r>
      <w:r w:rsidR="00182E2B">
        <w:t>Tokamak Plasmas</w:t>
      </w:r>
      <w:r w:rsidR="00182E2B">
        <w:t>”</w:t>
      </w:r>
    </w:p>
    <w:p w:rsidR="00194EDA" w:rsidRDefault="00194EDA" w:rsidP="003263DF">
      <w:pPr>
        <w:spacing w:after="0" w:line="240" w:lineRule="auto"/>
      </w:pPr>
      <w:r>
        <w:t>S. Biggs, MSc</w:t>
      </w:r>
      <w:r w:rsidR="007569D1">
        <w:t xml:space="preserve"> </w:t>
      </w:r>
      <w:r>
        <w:t xml:space="preserve"> thesis, York UK</w:t>
      </w:r>
      <w:r w:rsidR="00D23E0A">
        <w:t>,</w:t>
      </w:r>
      <w:r w:rsidR="00182E2B">
        <w:t xml:space="preserve"> “</w:t>
      </w:r>
      <w:r w:rsidR="00182E2B" w:rsidRPr="00182E2B">
        <w:t>Gyrokinetic Simulations of Kinetic Ballooning Modes</w:t>
      </w:r>
      <w:r w:rsidR="00182E2B">
        <w:t>”</w:t>
      </w:r>
    </w:p>
    <w:p w:rsidR="00194EDA" w:rsidRDefault="00194EDA" w:rsidP="003263DF">
      <w:pPr>
        <w:spacing w:after="0" w:line="240" w:lineRule="auto"/>
      </w:pPr>
    </w:p>
    <w:sectPr w:rsidR="00194E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26AE"/>
    <w:multiLevelType w:val="hybridMultilevel"/>
    <w:tmpl w:val="FBF80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815B03"/>
    <w:multiLevelType w:val="hybridMultilevel"/>
    <w:tmpl w:val="6576D3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E1B6BBB"/>
    <w:multiLevelType w:val="hybridMultilevel"/>
    <w:tmpl w:val="BA340A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212C7E"/>
    <w:multiLevelType w:val="hybridMultilevel"/>
    <w:tmpl w:val="A1B088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4B"/>
    <w:rsid w:val="00054C4E"/>
    <w:rsid w:val="00075873"/>
    <w:rsid w:val="00092AF6"/>
    <w:rsid w:val="001262A2"/>
    <w:rsid w:val="00182E2B"/>
    <w:rsid w:val="00192A43"/>
    <w:rsid w:val="00194EDA"/>
    <w:rsid w:val="001B0A2B"/>
    <w:rsid w:val="001B4443"/>
    <w:rsid w:val="001C51EE"/>
    <w:rsid w:val="001D6888"/>
    <w:rsid w:val="001E314B"/>
    <w:rsid w:val="00246EB7"/>
    <w:rsid w:val="00247083"/>
    <w:rsid w:val="002865A8"/>
    <w:rsid w:val="002A2FC7"/>
    <w:rsid w:val="002C7B62"/>
    <w:rsid w:val="003263DF"/>
    <w:rsid w:val="00365E37"/>
    <w:rsid w:val="00367BD4"/>
    <w:rsid w:val="00395A82"/>
    <w:rsid w:val="003B738C"/>
    <w:rsid w:val="003F6D9C"/>
    <w:rsid w:val="004346D6"/>
    <w:rsid w:val="00450A11"/>
    <w:rsid w:val="0045359E"/>
    <w:rsid w:val="00472189"/>
    <w:rsid w:val="004D1BFE"/>
    <w:rsid w:val="00510AD2"/>
    <w:rsid w:val="00550F49"/>
    <w:rsid w:val="005529C9"/>
    <w:rsid w:val="00574989"/>
    <w:rsid w:val="005F0D20"/>
    <w:rsid w:val="005F27D4"/>
    <w:rsid w:val="00601084"/>
    <w:rsid w:val="00650656"/>
    <w:rsid w:val="00655D80"/>
    <w:rsid w:val="006611B6"/>
    <w:rsid w:val="006754C4"/>
    <w:rsid w:val="006B6977"/>
    <w:rsid w:val="006D1437"/>
    <w:rsid w:val="007569D1"/>
    <w:rsid w:val="00765487"/>
    <w:rsid w:val="007B7561"/>
    <w:rsid w:val="007D6918"/>
    <w:rsid w:val="008145E2"/>
    <w:rsid w:val="008208E6"/>
    <w:rsid w:val="0084522A"/>
    <w:rsid w:val="008572DE"/>
    <w:rsid w:val="00872ADD"/>
    <w:rsid w:val="008E35BF"/>
    <w:rsid w:val="008F6B7B"/>
    <w:rsid w:val="008F7A74"/>
    <w:rsid w:val="00900BA0"/>
    <w:rsid w:val="00905FF9"/>
    <w:rsid w:val="00913012"/>
    <w:rsid w:val="009157BF"/>
    <w:rsid w:val="00944446"/>
    <w:rsid w:val="009E34A7"/>
    <w:rsid w:val="00A01021"/>
    <w:rsid w:val="00A337D3"/>
    <w:rsid w:val="00A47FC9"/>
    <w:rsid w:val="00AE3248"/>
    <w:rsid w:val="00B625FF"/>
    <w:rsid w:val="00B84A57"/>
    <w:rsid w:val="00BB55D7"/>
    <w:rsid w:val="00BD67DA"/>
    <w:rsid w:val="00BE08CF"/>
    <w:rsid w:val="00C05833"/>
    <w:rsid w:val="00C1229C"/>
    <w:rsid w:val="00C475BA"/>
    <w:rsid w:val="00C81E19"/>
    <w:rsid w:val="00C82DB3"/>
    <w:rsid w:val="00C879B4"/>
    <w:rsid w:val="00CD30BC"/>
    <w:rsid w:val="00CE12A4"/>
    <w:rsid w:val="00D23E0A"/>
    <w:rsid w:val="00D27C7B"/>
    <w:rsid w:val="00D323A7"/>
    <w:rsid w:val="00D429C7"/>
    <w:rsid w:val="00D62714"/>
    <w:rsid w:val="00D94F25"/>
    <w:rsid w:val="00DB2839"/>
    <w:rsid w:val="00DC373F"/>
    <w:rsid w:val="00E61FF3"/>
    <w:rsid w:val="00EF60E6"/>
    <w:rsid w:val="00F00107"/>
    <w:rsid w:val="00F032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1E314B"/>
    <w:pPr>
      <w:keepNext/>
      <w:spacing w:before="240" w:after="60"/>
      <w:outlineLvl w:val="0"/>
    </w:pPr>
    <w:rPr>
      <w:rFonts w:ascii="Cambria" w:eastAsia="MS Gothic" w:hAnsi="Cambria"/>
      <w:b/>
      <w:bCs/>
      <w:kern w:val="32"/>
      <w:sz w:val="32"/>
      <w:szCs w:val="32"/>
      <w:lang w:val="x-none" w:eastAsia="x-none"/>
    </w:rPr>
  </w:style>
  <w:style w:type="paragraph" w:styleId="Heading2">
    <w:name w:val="heading 2"/>
    <w:basedOn w:val="Normal"/>
    <w:next w:val="Normal"/>
    <w:link w:val="Heading2Char"/>
    <w:uiPriority w:val="9"/>
    <w:unhideWhenUsed/>
    <w:qFormat/>
    <w:rsid w:val="00DC373F"/>
    <w:pPr>
      <w:keepNext/>
      <w:spacing w:before="240" w:after="60"/>
      <w:outlineLvl w:val="1"/>
    </w:pPr>
    <w:rPr>
      <w:rFonts w:asciiTheme="majorHAnsi" w:eastAsiaTheme="majorEastAsia" w:hAnsiTheme="majorHAnsi" w:cstheme="majorBidi"/>
      <w:b/>
      <w:bCs/>
      <w:i/>
      <w:iCs/>
      <w:sz w:val="24"/>
      <w:szCs w:val="28"/>
    </w:rPr>
  </w:style>
  <w:style w:type="paragraph" w:styleId="Heading3">
    <w:name w:val="heading 3"/>
    <w:basedOn w:val="Normal"/>
    <w:next w:val="Normal"/>
    <w:link w:val="Heading3Char"/>
    <w:uiPriority w:val="9"/>
    <w:unhideWhenUsed/>
    <w:qFormat/>
    <w:rsid w:val="001E314B"/>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314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1E314B"/>
  </w:style>
  <w:style w:type="character" w:customStyle="1" w:styleId="apple-converted-space">
    <w:name w:val="apple-converted-space"/>
    <w:rsid w:val="001E314B"/>
  </w:style>
  <w:style w:type="character" w:customStyle="1" w:styleId="spellingerror">
    <w:name w:val="spellingerror"/>
    <w:rsid w:val="001E314B"/>
  </w:style>
  <w:style w:type="character" w:customStyle="1" w:styleId="eop">
    <w:name w:val="eop"/>
    <w:rsid w:val="001E314B"/>
  </w:style>
  <w:style w:type="character" w:customStyle="1" w:styleId="Heading1Char">
    <w:name w:val="Heading 1 Char"/>
    <w:basedOn w:val="DefaultParagraphFont"/>
    <w:link w:val="Heading1"/>
    <w:uiPriority w:val="9"/>
    <w:rsid w:val="001E314B"/>
    <w:rPr>
      <w:rFonts w:ascii="Cambria" w:eastAsia="MS Gothic" w:hAnsi="Cambria"/>
      <w:b/>
      <w:bCs/>
      <w:kern w:val="32"/>
      <w:sz w:val="32"/>
      <w:szCs w:val="32"/>
      <w:lang w:val="x-none" w:eastAsia="x-none"/>
    </w:rPr>
  </w:style>
  <w:style w:type="character" w:customStyle="1" w:styleId="Heading2Char">
    <w:name w:val="Heading 2 Char"/>
    <w:basedOn w:val="DefaultParagraphFont"/>
    <w:link w:val="Heading2"/>
    <w:uiPriority w:val="9"/>
    <w:rsid w:val="00DC373F"/>
    <w:rPr>
      <w:rFonts w:asciiTheme="majorHAnsi" w:eastAsiaTheme="majorEastAsia" w:hAnsiTheme="majorHAnsi" w:cstheme="majorBidi"/>
      <w:b/>
      <w:bCs/>
      <w:i/>
      <w:iCs/>
      <w:sz w:val="24"/>
      <w:szCs w:val="28"/>
    </w:rPr>
  </w:style>
  <w:style w:type="character" w:customStyle="1" w:styleId="Heading3Char">
    <w:name w:val="Heading 3 Char"/>
    <w:basedOn w:val="DefaultParagraphFont"/>
    <w:link w:val="Heading3"/>
    <w:uiPriority w:val="9"/>
    <w:rsid w:val="001E314B"/>
    <w:rPr>
      <w:rFonts w:asciiTheme="majorHAnsi" w:eastAsiaTheme="majorEastAsia" w:hAnsiTheme="majorHAnsi" w:cstheme="majorBidi"/>
      <w:b/>
      <w:bCs/>
      <w:sz w:val="26"/>
      <w:szCs w:val="26"/>
    </w:rPr>
  </w:style>
  <w:style w:type="character" w:styleId="PlaceholderText">
    <w:name w:val="Placeholder Text"/>
    <w:basedOn w:val="DefaultParagraphFont"/>
    <w:uiPriority w:val="99"/>
    <w:semiHidden/>
    <w:rsid w:val="00D62714"/>
    <w:rPr>
      <w:color w:val="808080"/>
    </w:rPr>
  </w:style>
  <w:style w:type="paragraph" w:styleId="BalloonText">
    <w:name w:val="Balloon Text"/>
    <w:basedOn w:val="Normal"/>
    <w:link w:val="BalloonTextChar"/>
    <w:uiPriority w:val="99"/>
    <w:semiHidden/>
    <w:unhideWhenUsed/>
    <w:rsid w:val="00D62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714"/>
    <w:rPr>
      <w:rFonts w:ascii="Tahoma" w:hAnsi="Tahoma" w:cs="Tahoma"/>
      <w:sz w:val="16"/>
      <w:szCs w:val="16"/>
    </w:rPr>
  </w:style>
  <w:style w:type="paragraph" w:styleId="ListParagraph">
    <w:name w:val="List Paragraph"/>
    <w:basedOn w:val="Normal"/>
    <w:uiPriority w:val="34"/>
    <w:qFormat/>
    <w:rsid w:val="00510AD2"/>
    <w:pPr>
      <w:ind w:left="720"/>
      <w:contextualSpacing/>
    </w:pPr>
  </w:style>
  <w:style w:type="character" w:styleId="Hyperlink">
    <w:name w:val="Hyperlink"/>
    <w:basedOn w:val="DefaultParagraphFont"/>
    <w:uiPriority w:val="99"/>
    <w:semiHidden/>
    <w:unhideWhenUsed/>
    <w:rsid w:val="00905FF9"/>
    <w:rPr>
      <w:color w:val="0000FF"/>
      <w:u w:val="single"/>
    </w:rPr>
  </w:style>
  <w:style w:type="paragraph" w:styleId="Date">
    <w:name w:val="Date"/>
    <w:basedOn w:val="Normal"/>
    <w:next w:val="Normal"/>
    <w:link w:val="DateChar"/>
    <w:uiPriority w:val="99"/>
    <w:semiHidden/>
    <w:unhideWhenUsed/>
    <w:rsid w:val="00913012"/>
  </w:style>
  <w:style w:type="character" w:customStyle="1" w:styleId="DateChar">
    <w:name w:val="Date Char"/>
    <w:basedOn w:val="DefaultParagraphFont"/>
    <w:link w:val="Date"/>
    <w:uiPriority w:val="99"/>
    <w:semiHidden/>
    <w:rsid w:val="00913012"/>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1E314B"/>
    <w:pPr>
      <w:keepNext/>
      <w:spacing w:before="240" w:after="60"/>
      <w:outlineLvl w:val="0"/>
    </w:pPr>
    <w:rPr>
      <w:rFonts w:ascii="Cambria" w:eastAsia="MS Gothic" w:hAnsi="Cambria"/>
      <w:b/>
      <w:bCs/>
      <w:kern w:val="32"/>
      <w:sz w:val="32"/>
      <w:szCs w:val="32"/>
      <w:lang w:val="x-none" w:eastAsia="x-none"/>
    </w:rPr>
  </w:style>
  <w:style w:type="paragraph" w:styleId="Heading2">
    <w:name w:val="heading 2"/>
    <w:basedOn w:val="Normal"/>
    <w:next w:val="Normal"/>
    <w:link w:val="Heading2Char"/>
    <w:uiPriority w:val="9"/>
    <w:unhideWhenUsed/>
    <w:qFormat/>
    <w:rsid w:val="00DC373F"/>
    <w:pPr>
      <w:keepNext/>
      <w:spacing w:before="240" w:after="60"/>
      <w:outlineLvl w:val="1"/>
    </w:pPr>
    <w:rPr>
      <w:rFonts w:asciiTheme="majorHAnsi" w:eastAsiaTheme="majorEastAsia" w:hAnsiTheme="majorHAnsi" w:cstheme="majorBidi"/>
      <w:b/>
      <w:bCs/>
      <w:i/>
      <w:iCs/>
      <w:sz w:val="24"/>
      <w:szCs w:val="28"/>
    </w:rPr>
  </w:style>
  <w:style w:type="paragraph" w:styleId="Heading3">
    <w:name w:val="heading 3"/>
    <w:basedOn w:val="Normal"/>
    <w:next w:val="Normal"/>
    <w:link w:val="Heading3Char"/>
    <w:uiPriority w:val="9"/>
    <w:unhideWhenUsed/>
    <w:qFormat/>
    <w:rsid w:val="001E314B"/>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314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1E314B"/>
  </w:style>
  <w:style w:type="character" w:customStyle="1" w:styleId="apple-converted-space">
    <w:name w:val="apple-converted-space"/>
    <w:rsid w:val="001E314B"/>
  </w:style>
  <w:style w:type="character" w:customStyle="1" w:styleId="spellingerror">
    <w:name w:val="spellingerror"/>
    <w:rsid w:val="001E314B"/>
  </w:style>
  <w:style w:type="character" w:customStyle="1" w:styleId="eop">
    <w:name w:val="eop"/>
    <w:rsid w:val="001E314B"/>
  </w:style>
  <w:style w:type="character" w:customStyle="1" w:styleId="Heading1Char">
    <w:name w:val="Heading 1 Char"/>
    <w:basedOn w:val="DefaultParagraphFont"/>
    <w:link w:val="Heading1"/>
    <w:uiPriority w:val="9"/>
    <w:rsid w:val="001E314B"/>
    <w:rPr>
      <w:rFonts w:ascii="Cambria" w:eastAsia="MS Gothic" w:hAnsi="Cambria"/>
      <w:b/>
      <w:bCs/>
      <w:kern w:val="32"/>
      <w:sz w:val="32"/>
      <w:szCs w:val="32"/>
      <w:lang w:val="x-none" w:eastAsia="x-none"/>
    </w:rPr>
  </w:style>
  <w:style w:type="character" w:customStyle="1" w:styleId="Heading2Char">
    <w:name w:val="Heading 2 Char"/>
    <w:basedOn w:val="DefaultParagraphFont"/>
    <w:link w:val="Heading2"/>
    <w:uiPriority w:val="9"/>
    <w:rsid w:val="00DC373F"/>
    <w:rPr>
      <w:rFonts w:asciiTheme="majorHAnsi" w:eastAsiaTheme="majorEastAsia" w:hAnsiTheme="majorHAnsi" w:cstheme="majorBidi"/>
      <w:b/>
      <w:bCs/>
      <w:i/>
      <w:iCs/>
      <w:sz w:val="24"/>
      <w:szCs w:val="28"/>
    </w:rPr>
  </w:style>
  <w:style w:type="character" w:customStyle="1" w:styleId="Heading3Char">
    <w:name w:val="Heading 3 Char"/>
    <w:basedOn w:val="DefaultParagraphFont"/>
    <w:link w:val="Heading3"/>
    <w:uiPriority w:val="9"/>
    <w:rsid w:val="001E314B"/>
    <w:rPr>
      <w:rFonts w:asciiTheme="majorHAnsi" w:eastAsiaTheme="majorEastAsia" w:hAnsiTheme="majorHAnsi" w:cstheme="majorBidi"/>
      <w:b/>
      <w:bCs/>
      <w:sz w:val="26"/>
      <w:szCs w:val="26"/>
    </w:rPr>
  </w:style>
  <w:style w:type="character" w:styleId="PlaceholderText">
    <w:name w:val="Placeholder Text"/>
    <w:basedOn w:val="DefaultParagraphFont"/>
    <w:uiPriority w:val="99"/>
    <w:semiHidden/>
    <w:rsid w:val="00D62714"/>
    <w:rPr>
      <w:color w:val="808080"/>
    </w:rPr>
  </w:style>
  <w:style w:type="paragraph" w:styleId="BalloonText">
    <w:name w:val="Balloon Text"/>
    <w:basedOn w:val="Normal"/>
    <w:link w:val="BalloonTextChar"/>
    <w:uiPriority w:val="99"/>
    <w:semiHidden/>
    <w:unhideWhenUsed/>
    <w:rsid w:val="00D62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714"/>
    <w:rPr>
      <w:rFonts w:ascii="Tahoma" w:hAnsi="Tahoma" w:cs="Tahoma"/>
      <w:sz w:val="16"/>
      <w:szCs w:val="16"/>
    </w:rPr>
  </w:style>
  <w:style w:type="paragraph" w:styleId="ListParagraph">
    <w:name w:val="List Paragraph"/>
    <w:basedOn w:val="Normal"/>
    <w:uiPriority w:val="34"/>
    <w:qFormat/>
    <w:rsid w:val="00510AD2"/>
    <w:pPr>
      <w:ind w:left="720"/>
      <w:contextualSpacing/>
    </w:pPr>
  </w:style>
  <w:style w:type="character" w:styleId="Hyperlink">
    <w:name w:val="Hyperlink"/>
    <w:basedOn w:val="DefaultParagraphFont"/>
    <w:uiPriority w:val="99"/>
    <w:semiHidden/>
    <w:unhideWhenUsed/>
    <w:rsid w:val="00905FF9"/>
    <w:rPr>
      <w:color w:val="0000FF"/>
      <w:u w:val="single"/>
    </w:rPr>
  </w:style>
  <w:style w:type="paragraph" w:styleId="Date">
    <w:name w:val="Date"/>
    <w:basedOn w:val="Normal"/>
    <w:next w:val="Normal"/>
    <w:link w:val="DateChar"/>
    <w:uiPriority w:val="99"/>
    <w:semiHidden/>
    <w:unhideWhenUsed/>
    <w:rsid w:val="00913012"/>
  </w:style>
  <w:style w:type="character" w:customStyle="1" w:styleId="DateChar">
    <w:name w:val="Date Char"/>
    <w:basedOn w:val="DefaultParagraphFont"/>
    <w:link w:val="Date"/>
    <w:uiPriority w:val="99"/>
    <w:semiHidden/>
    <w:rsid w:val="0091301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3038">
      <w:bodyDiv w:val="1"/>
      <w:marLeft w:val="0"/>
      <w:marRight w:val="0"/>
      <w:marTop w:val="0"/>
      <w:marBottom w:val="0"/>
      <w:divBdr>
        <w:top w:val="none" w:sz="0" w:space="0" w:color="auto"/>
        <w:left w:val="none" w:sz="0" w:space="0" w:color="auto"/>
        <w:bottom w:val="none" w:sz="0" w:space="0" w:color="auto"/>
        <w:right w:val="none" w:sz="0" w:space="0" w:color="auto"/>
      </w:divBdr>
    </w:div>
    <w:div w:id="251935977">
      <w:bodyDiv w:val="1"/>
      <w:marLeft w:val="0"/>
      <w:marRight w:val="0"/>
      <w:marTop w:val="0"/>
      <w:marBottom w:val="0"/>
      <w:divBdr>
        <w:top w:val="none" w:sz="0" w:space="0" w:color="auto"/>
        <w:left w:val="none" w:sz="0" w:space="0" w:color="auto"/>
        <w:bottom w:val="none" w:sz="0" w:space="0" w:color="auto"/>
        <w:right w:val="none" w:sz="0" w:space="0" w:color="auto"/>
      </w:divBdr>
    </w:div>
    <w:div w:id="638731882">
      <w:bodyDiv w:val="1"/>
      <w:marLeft w:val="0"/>
      <w:marRight w:val="0"/>
      <w:marTop w:val="0"/>
      <w:marBottom w:val="0"/>
      <w:divBdr>
        <w:top w:val="none" w:sz="0" w:space="0" w:color="auto"/>
        <w:left w:val="none" w:sz="0" w:space="0" w:color="auto"/>
        <w:bottom w:val="none" w:sz="0" w:space="0" w:color="auto"/>
        <w:right w:val="none" w:sz="0" w:space="0" w:color="auto"/>
      </w:divBdr>
    </w:div>
    <w:div w:id="700742273">
      <w:bodyDiv w:val="1"/>
      <w:marLeft w:val="0"/>
      <w:marRight w:val="0"/>
      <w:marTop w:val="0"/>
      <w:marBottom w:val="0"/>
      <w:divBdr>
        <w:top w:val="none" w:sz="0" w:space="0" w:color="auto"/>
        <w:left w:val="none" w:sz="0" w:space="0" w:color="auto"/>
        <w:bottom w:val="none" w:sz="0" w:space="0" w:color="auto"/>
        <w:right w:val="none" w:sz="0" w:space="0" w:color="auto"/>
      </w:divBdr>
      <w:divsChild>
        <w:div w:id="947543865">
          <w:marLeft w:val="0"/>
          <w:marRight w:val="0"/>
          <w:marTop w:val="0"/>
          <w:marBottom w:val="0"/>
          <w:divBdr>
            <w:top w:val="none" w:sz="0" w:space="0" w:color="auto"/>
            <w:left w:val="none" w:sz="0" w:space="0" w:color="auto"/>
            <w:bottom w:val="none" w:sz="0" w:space="0" w:color="auto"/>
            <w:right w:val="none" w:sz="0" w:space="0" w:color="auto"/>
          </w:divBdr>
        </w:div>
        <w:div w:id="555623978">
          <w:marLeft w:val="0"/>
          <w:marRight w:val="0"/>
          <w:marTop w:val="0"/>
          <w:marBottom w:val="0"/>
          <w:divBdr>
            <w:top w:val="none" w:sz="0" w:space="0" w:color="auto"/>
            <w:left w:val="none" w:sz="0" w:space="0" w:color="auto"/>
            <w:bottom w:val="none" w:sz="0" w:space="0" w:color="auto"/>
            <w:right w:val="none" w:sz="0" w:space="0" w:color="auto"/>
          </w:divBdr>
        </w:div>
      </w:divsChild>
    </w:div>
    <w:div w:id="831601750">
      <w:bodyDiv w:val="1"/>
      <w:marLeft w:val="0"/>
      <w:marRight w:val="0"/>
      <w:marTop w:val="0"/>
      <w:marBottom w:val="0"/>
      <w:divBdr>
        <w:top w:val="none" w:sz="0" w:space="0" w:color="auto"/>
        <w:left w:val="none" w:sz="0" w:space="0" w:color="auto"/>
        <w:bottom w:val="none" w:sz="0" w:space="0" w:color="auto"/>
        <w:right w:val="none" w:sz="0" w:space="0" w:color="auto"/>
      </w:divBdr>
    </w:div>
    <w:div w:id="962349255">
      <w:bodyDiv w:val="1"/>
      <w:marLeft w:val="0"/>
      <w:marRight w:val="0"/>
      <w:marTop w:val="0"/>
      <w:marBottom w:val="0"/>
      <w:divBdr>
        <w:top w:val="none" w:sz="0" w:space="0" w:color="auto"/>
        <w:left w:val="none" w:sz="0" w:space="0" w:color="auto"/>
        <w:bottom w:val="none" w:sz="0" w:space="0" w:color="auto"/>
        <w:right w:val="none" w:sz="0" w:space="0" w:color="auto"/>
      </w:divBdr>
    </w:div>
    <w:div w:id="1019816132">
      <w:bodyDiv w:val="1"/>
      <w:marLeft w:val="0"/>
      <w:marRight w:val="0"/>
      <w:marTop w:val="0"/>
      <w:marBottom w:val="0"/>
      <w:divBdr>
        <w:top w:val="none" w:sz="0" w:space="0" w:color="auto"/>
        <w:left w:val="none" w:sz="0" w:space="0" w:color="auto"/>
        <w:bottom w:val="none" w:sz="0" w:space="0" w:color="auto"/>
        <w:right w:val="none" w:sz="0" w:space="0" w:color="auto"/>
      </w:divBdr>
      <w:divsChild>
        <w:div w:id="187764535">
          <w:marLeft w:val="1166"/>
          <w:marRight w:val="0"/>
          <w:marTop w:val="120"/>
          <w:marBottom w:val="0"/>
          <w:divBdr>
            <w:top w:val="none" w:sz="0" w:space="0" w:color="auto"/>
            <w:left w:val="none" w:sz="0" w:space="0" w:color="auto"/>
            <w:bottom w:val="none" w:sz="0" w:space="0" w:color="auto"/>
            <w:right w:val="none" w:sz="0" w:space="0" w:color="auto"/>
          </w:divBdr>
        </w:div>
        <w:div w:id="516769390">
          <w:marLeft w:val="1166"/>
          <w:marRight w:val="0"/>
          <w:marTop w:val="120"/>
          <w:marBottom w:val="0"/>
          <w:divBdr>
            <w:top w:val="none" w:sz="0" w:space="0" w:color="auto"/>
            <w:left w:val="none" w:sz="0" w:space="0" w:color="auto"/>
            <w:bottom w:val="none" w:sz="0" w:space="0" w:color="auto"/>
            <w:right w:val="none" w:sz="0" w:space="0" w:color="auto"/>
          </w:divBdr>
        </w:div>
        <w:div w:id="46489598">
          <w:marLeft w:val="1166"/>
          <w:marRight w:val="0"/>
          <w:marTop w:val="120"/>
          <w:marBottom w:val="0"/>
          <w:divBdr>
            <w:top w:val="none" w:sz="0" w:space="0" w:color="auto"/>
            <w:left w:val="none" w:sz="0" w:space="0" w:color="auto"/>
            <w:bottom w:val="none" w:sz="0" w:space="0" w:color="auto"/>
            <w:right w:val="none" w:sz="0" w:space="0" w:color="auto"/>
          </w:divBdr>
        </w:div>
        <w:div w:id="108822131">
          <w:marLeft w:val="1166"/>
          <w:marRight w:val="0"/>
          <w:marTop w:val="120"/>
          <w:marBottom w:val="0"/>
          <w:divBdr>
            <w:top w:val="none" w:sz="0" w:space="0" w:color="auto"/>
            <w:left w:val="none" w:sz="0" w:space="0" w:color="auto"/>
            <w:bottom w:val="none" w:sz="0" w:space="0" w:color="auto"/>
            <w:right w:val="none" w:sz="0" w:space="0" w:color="auto"/>
          </w:divBdr>
        </w:div>
        <w:div w:id="1035542718">
          <w:marLeft w:val="547"/>
          <w:marRight w:val="0"/>
          <w:marTop w:val="120"/>
          <w:marBottom w:val="0"/>
          <w:divBdr>
            <w:top w:val="none" w:sz="0" w:space="0" w:color="auto"/>
            <w:left w:val="none" w:sz="0" w:space="0" w:color="auto"/>
            <w:bottom w:val="none" w:sz="0" w:space="0" w:color="auto"/>
            <w:right w:val="none" w:sz="0" w:space="0" w:color="auto"/>
          </w:divBdr>
        </w:div>
      </w:divsChild>
    </w:div>
    <w:div w:id="1241864490">
      <w:bodyDiv w:val="1"/>
      <w:marLeft w:val="0"/>
      <w:marRight w:val="0"/>
      <w:marTop w:val="0"/>
      <w:marBottom w:val="0"/>
      <w:divBdr>
        <w:top w:val="none" w:sz="0" w:space="0" w:color="auto"/>
        <w:left w:val="none" w:sz="0" w:space="0" w:color="auto"/>
        <w:bottom w:val="none" w:sz="0" w:space="0" w:color="auto"/>
        <w:right w:val="none" w:sz="0" w:space="0" w:color="auto"/>
      </w:divBdr>
      <w:divsChild>
        <w:div w:id="833572002">
          <w:marLeft w:val="1166"/>
          <w:marRight w:val="0"/>
          <w:marTop w:val="120"/>
          <w:marBottom w:val="0"/>
          <w:divBdr>
            <w:top w:val="none" w:sz="0" w:space="0" w:color="auto"/>
            <w:left w:val="none" w:sz="0" w:space="0" w:color="auto"/>
            <w:bottom w:val="none" w:sz="0" w:space="0" w:color="auto"/>
            <w:right w:val="none" w:sz="0" w:space="0" w:color="auto"/>
          </w:divBdr>
        </w:div>
        <w:div w:id="571892087">
          <w:marLeft w:val="1166"/>
          <w:marRight w:val="0"/>
          <w:marTop w:val="120"/>
          <w:marBottom w:val="0"/>
          <w:divBdr>
            <w:top w:val="none" w:sz="0" w:space="0" w:color="auto"/>
            <w:left w:val="none" w:sz="0" w:space="0" w:color="auto"/>
            <w:bottom w:val="none" w:sz="0" w:space="0" w:color="auto"/>
            <w:right w:val="none" w:sz="0" w:space="0" w:color="auto"/>
          </w:divBdr>
        </w:div>
        <w:div w:id="163130839">
          <w:marLeft w:val="1166"/>
          <w:marRight w:val="0"/>
          <w:marTop w:val="120"/>
          <w:marBottom w:val="0"/>
          <w:divBdr>
            <w:top w:val="none" w:sz="0" w:space="0" w:color="auto"/>
            <w:left w:val="none" w:sz="0" w:space="0" w:color="auto"/>
            <w:bottom w:val="none" w:sz="0" w:space="0" w:color="auto"/>
            <w:right w:val="none" w:sz="0" w:space="0" w:color="auto"/>
          </w:divBdr>
        </w:div>
        <w:div w:id="940332116">
          <w:marLeft w:val="1166"/>
          <w:marRight w:val="0"/>
          <w:marTop w:val="120"/>
          <w:marBottom w:val="0"/>
          <w:divBdr>
            <w:top w:val="none" w:sz="0" w:space="0" w:color="auto"/>
            <w:left w:val="none" w:sz="0" w:space="0" w:color="auto"/>
            <w:bottom w:val="none" w:sz="0" w:space="0" w:color="auto"/>
            <w:right w:val="none" w:sz="0" w:space="0" w:color="auto"/>
          </w:divBdr>
        </w:div>
      </w:divsChild>
    </w:div>
    <w:div w:id="1363435092">
      <w:bodyDiv w:val="1"/>
      <w:marLeft w:val="0"/>
      <w:marRight w:val="0"/>
      <w:marTop w:val="0"/>
      <w:marBottom w:val="0"/>
      <w:divBdr>
        <w:top w:val="none" w:sz="0" w:space="0" w:color="auto"/>
        <w:left w:val="none" w:sz="0" w:space="0" w:color="auto"/>
        <w:bottom w:val="none" w:sz="0" w:space="0" w:color="auto"/>
        <w:right w:val="none" w:sz="0" w:space="0" w:color="auto"/>
      </w:divBdr>
    </w:div>
    <w:div w:id="1532915978">
      <w:bodyDiv w:val="1"/>
      <w:marLeft w:val="0"/>
      <w:marRight w:val="0"/>
      <w:marTop w:val="0"/>
      <w:marBottom w:val="0"/>
      <w:divBdr>
        <w:top w:val="none" w:sz="0" w:space="0" w:color="auto"/>
        <w:left w:val="none" w:sz="0" w:space="0" w:color="auto"/>
        <w:bottom w:val="none" w:sz="0" w:space="0" w:color="auto"/>
        <w:right w:val="none" w:sz="0" w:space="0" w:color="auto"/>
      </w:divBdr>
    </w:div>
    <w:div w:id="1718431221">
      <w:bodyDiv w:val="1"/>
      <w:marLeft w:val="0"/>
      <w:marRight w:val="0"/>
      <w:marTop w:val="0"/>
      <w:marBottom w:val="0"/>
      <w:divBdr>
        <w:top w:val="none" w:sz="0" w:space="0" w:color="auto"/>
        <w:left w:val="none" w:sz="0" w:space="0" w:color="auto"/>
        <w:bottom w:val="none" w:sz="0" w:space="0" w:color="auto"/>
        <w:right w:val="none" w:sz="0" w:space="0" w:color="auto"/>
      </w:divBdr>
    </w:div>
    <w:div w:id="178280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1214</TotalTime>
  <Pages>11</Pages>
  <Words>4716</Words>
  <Characters>26885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Culham Centre for Fusion Energy</Company>
  <LinksUpToDate>false</LinksUpToDate>
  <CharactersWithSpaces>31538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Saarelma, Samuli</dc:creator>
  <cp:lastModifiedBy>Saarelma, Samuli</cp:lastModifiedBy>
  <cp:revision>31</cp:revision>
  <dcterms:created xsi:type="dcterms:W3CDTF">2016-12-23T13:08:00Z</dcterms:created>
  <dcterms:modified xsi:type="dcterms:W3CDTF">2017-01-13T15:00:00Z</dcterms:modified>
</cp:coreProperties>
</file>